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63CA2" w:rsidR="00156974" w:rsidP="00156974" w:rsidRDefault="00156974" w14:paraId="672A6659" w14:textId="77777777">
      <w:pPr>
        <w:pStyle w:val="Header"/>
      </w:pPr>
      <w:r>
        <w:rPr>
          <w:noProof/>
        </w:rPr>
        <w:drawing>
          <wp:inline distT="0" distB="0" distL="0" distR="0" wp14:anchorId="7EF522EC" wp14:editId="32C1F2FD">
            <wp:extent cx="6270585"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RS Header 2016 acon ribbo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278926" cy="858390"/>
                    </a:xfrm>
                    <a:prstGeom prst="rect">
                      <a:avLst/>
                    </a:prstGeom>
                    <a:noFill/>
                    <a:ln>
                      <a:noFill/>
                    </a:ln>
                  </pic:spPr>
                </pic:pic>
              </a:graphicData>
            </a:graphic>
          </wp:inline>
        </w:drawing>
      </w:r>
    </w:p>
    <w:p w:rsidR="00FB5D67" w:rsidP="00FB5D67" w:rsidRDefault="00FB5D67" w14:paraId="0A37501D" w14:textId="77777777">
      <w:pPr>
        <w:spacing w:after="0" w:line="240" w:lineRule="auto"/>
        <w:jc w:val="center"/>
        <w:rPr>
          <w:b/>
        </w:rPr>
      </w:pPr>
    </w:p>
    <w:p w:rsidRPr="002E3D8D" w:rsidR="00C11A30" w:rsidP="00FB5D67" w:rsidRDefault="00043726" w14:paraId="08337FB5" w14:textId="77777777">
      <w:pPr>
        <w:shd w:val="clear" w:color="auto" w:fill="1F497D" w:themeFill="text2"/>
        <w:spacing w:after="0" w:line="240" w:lineRule="auto"/>
        <w:jc w:val="center"/>
        <w:rPr>
          <w:color w:val="FFFFFF" w:themeColor="background1"/>
          <w:sz w:val="36"/>
          <w:szCs w:val="36"/>
        </w:rPr>
      </w:pPr>
      <w:r>
        <w:rPr>
          <w:color w:val="FFFFFF" w:themeColor="background1"/>
          <w:sz w:val="36"/>
          <w:szCs w:val="36"/>
        </w:rPr>
        <w:t xml:space="preserve">CRIMINAL EXPLOITATION (CE) </w:t>
      </w:r>
      <w:r w:rsidRPr="002E3D8D" w:rsidR="00505DF0">
        <w:rPr>
          <w:color w:val="FFFFFF" w:themeColor="background1"/>
          <w:sz w:val="36"/>
          <w:szCs w:val="36"/>
        </w:rPr>
        <w:t>POLICY</w:t>
      </w:r>
    </w:p>
    <w:p w:rsidRPr="002E3D8D" w:rsidR="0020691C" w:rsidP="3FE13585" w:rsidRDefault="0020691C" w14:paraId="0CA06F38" w14:textId="5B6B9D64">
      <w:pPr>
        <w:spacing w:after="0" w:line="240" w:lineRule="auto"/>
        <w:jc w:val="right"/>
        <w:rPr>
          <w:sz w:val="20"/>
          <w:szCs w:val="20"/>
        </w:rPr>
      </w:pPr>
    </w:p>
    <w:p w:rsidR="0092256A" w:rsidP="00C11A30" w:rsidRDefault="0092256A" w14:paraId="5DAB6C7B" w14:textId="77777777">
      <w:pPr>
        <w:spacing w:after="0" w:line="240" w:lineRule="auto"/>
      </w:pPr>
    </w:p>
    <w:tbl>
      <w:tblPr>
        <w:tblStyle w:val="TableGrid"/>
        <w:tblW w:w="9923" w:type="dxa"/>
        <w:tblInd w:w="-5"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Look w:val="04A0" w:firstRow="1" w:lastRow="0" w:firstColumn="1" w:lastColumn="0" w:noHBand="0" w:noVBand="1"/>
      </w:tblPr>
      <w:tblGrid>
        <w:gridCol w:w="5642"/>
        <w:gridCol w:w="4281"/>
      </w:tblGrid>
      <w:tr w:rsidR="00AD6496" w:rsidTr="4C325021" w14:paraId="449C7B2D" w14:textId="77777777">
        <w:trPr>
          <w:trHeight w:val="20"/>
        </w:trPr>
        <w:tc>
          <w:tcPr>
            <w:tcW w:w="5642" w:type="dxa"/>
            <w:tcMar/>
          </w:tcPr>
          <w:p w:rsidRPr="001D46C2" w:rsidR="00AD6496" w:rsidP="004A0140" w:rsidRDefault="00AD6496" w14:paraId="644861CB" w14:textId="77777777">
            <w:pPr>
              <w:spacing w:line="259" w:lineRule="auto"/>
              <w:rPr>
                <w:rFonts w:cstheme="minorHAnsi"/>
                <w:color w:val="595959" w:themeColor="text1" w:themeTint="A6"/>
                <w:sz w:val="20"/>
                <w:szCs w:val="28"/>
              </w:rPr>
            </w:pPr>
            <w:r w:rsidRPr="001D46C2">
              <w:rPr>
                <w:rFonts w:cstheme="minorHAnsi"/>
                <w:color w:val="595959" w:themeColor="text1" w:themeTint="A6"/>
                <w:sz w:val="20"/>
                <w:szCs w:val="28"/>
              </w:rPr>
              <w:t xml:space="preserve">Status </w:t>
            </w:r>
          </w:p>
        </w:tc>
        <w:tc>
          <w:tcPr>
            <w:tcW w:w="4281" w:type="dxa"/>
            <w:tcMar/>
          </w:tcPr>
          <w:p w:rsidRPr="00043726" w:rsidR="00AD6496" w:rsidP="00043726" w:rsidRDefault="00AD6496" w14:paraId="1BE399DA" w14:textId="77777777">
            <w:pPr>
              <w:spacing w:line="259" w:lineRule="auto"/>
              <w:ind w:left="16"/>
              <w:jc w:val="center"/>
              <w:rPr>
                <w:rFonts w:eastAsia="Century Gothic" w:cstheme="minorHAnsi"/>
                <w:color w:val="595959" w:themeColor="text1" w:themeTint="A6"/>
                <w:sz w:val="20"/>
                <w:szCs w:val="28"/>
              </w:rPr>
            </w:pPr>
            <w:r w:rsidRPr="001D46C2">
              <w:rPr>
                <w:rFonts w:eastAsia="Century Gothic" w:cstheme="minorHAnsi"/>
                <w:color w:val="595959" w:themeColor="text1" w:themeTint="A6"/>
                <w:sz w:val="20"/>
                <w:szCs w:val="28"/>
              </w:rPr>
              <w:t xml:space="preserve">Non-Statutory </w:t>
            </w:r>
            <w:r>
              <w:rPr>
                <w:rFonts w:eastAsia="Century Gothic" w:cstheme="minorHAnsi"/>
                <w:color w:val="595959" w:themeColor="text1" w:themeTint="A6"/>
                <w:sz w:val="20"/>
                <w:szCs w:val="28"/>
              </w:rPr>
              <w:t xml:space="preserve"> </w:t>
            </w:r>
          </w:p>
        </w:tc>
      </w:tr>
      <w:tr w:rsidR="00AD6496" w:rsidTr="4C325021" w14:paraId="1EB1E388" w14:textId="77777777">
        <w:trPr>
          <w:trHeight w:val="20"/>
        </w:trPr>
        <w:tc>
          <w:tcPr>
            <w:tcW w:w="5642" w:type="dxa"/>
            <w:tcMar/>
          </w:tcPr>
          <w:p w:rsidRPr="001D46C2" w:rsidR="00AD6496" w:rsidP="004A0140" w:rsidRDefault="00AD6496" w14:paraId="6A776BB1" w14:textId="77777777">
            <w:pPr>
              <w:spacing w:line="259" w:lineRule="auto"/>
              <w:rPr>
                <w:rFonts w:cstheme="minorHAnsi"/>
                <w:color w:val="595959" w:themeColor="text1" w:themeTint="A6"/>
                <w:sz w:val="20"/>
                <w:szCs w:val="28"/>
              </w:rPr>
            </w:pPr>
            <w:r w:rsidRPr="001D46C2">
              <w:rPr>
                <w:rFonts w:cstheme="minorHAnsi"/>
                <w:color w:val="595959" w:themeColor="text1" w:themeTint="A6"/>
                <w:sz w:val="20"/>
                <w:szCs w:val="28"/>
              </w:rPr>
              <w:t>Responsible Management Committee (MC)</w:t>
            </w:r>
          </w:p>
        </w:tc>
        <w:tc>
          <w:tcPr>
            <w:tcW w:w="4281" w:type="dxa"/>
            <w:tcMar/>
          </w:tcPr>
          <w:p w:rsidRPr="001D46C2" w:rsidR="00AD6496" w:rsidP="00043726" w:rsidRDefault="00085F6C" w14:paraId="4FAF9582" w14:textId="00D164C5">
            <w:pPr>
              <w:spacing w:line="259" w:lineRule="auto"/>
              <w:ind w:left="13"/>
              <w:jc w:val="center"/>
              <w:rPr>
                <w:rFonts w:cstheme="minorHAnsi"/>
                <w:color w:val="595959" w:themeColor="text1" w:themeTint="A6"/>
                <w:sz w:val="20"/>
                <w:szCs w:val="28"/>
              </w:rPr>
            </w:pPr>
            <w:r>
              <w:rPr>
                <w:rFonts w:eastAsia="Century Gothic" w:cstheme="minorHAnsi"/>
                <w:color w:val="595959" w:themeColor="text1" w:themeTint="A6"/>
                <w:sz w:val="20"/>
                <w:szCs w:val="28"/>
              </w:rPr>
              <w:t xml:space="preserve">Curriculum </w:t>
            </w:r>
            <w:r w:rsidR="008F7CD9">
              <w:rPr>
                <w:rFonts w:eastAsia="Century Gothic" w:cstheme="minorHAnsi"/>
                <w:color w:val="595959" w:themeColor="text1" w:themeTint="A6"/>
                <w:sz w:val="20"/>
                <w:szCs w:val="28"/>
              </w:rPr>
              <w:t xml:space="preserve">&amp; </w:t>
            </w:r>
            <w:r w:rsidR="00043726">
              <w:rPr>
                <w:rFonts w:eastAsia="Century Gothic" w:cstheme="minorHAnsi"/>
                <w:color w:val="595959" w:themeColor="text1" w:themeTint="A6"/>
                <w:sz w:val="20"/>
                <w:szCs w:val="28"/>
              </w:rPr>
              <w:t>Wellbeing</w:t>
            </w:r>
          </w:p>
        </w:tc>
      </w:tr>
      <w:tr w:rsidR="00AD6496" w:rsidTr="4C325021" w14:paraId="2445A192" w14:textId="77777777">
        <w:trPr>
          <w:trHeight w:val="20"/>
        </w:trPr>
        <w:tc>
          <w:tcPr>
            <w:tcW w:w="5642" w:type="dxa"/>
            <w:tcMar/>
          </w:tcPr>
          <w:p w:rsidRPr="001D46C2" w:rsidR="00AD6496" w:rsidP="004A0140" w:rsidRDefault="00AD6496" w14:paraId="28DC9F05" w14:textId="77777777">
            <w:pPr>
              <w:spacing w:line="259" w:lineRule="auto"/>
              <w:rPr>
                <w:rFonts w:cstheme="minorHAnsi"/>
                <w:color w:val="595959" w:themeColor="text1" w:themeTint="A6"/>
                <w:sz w:val="20"/>
                <w:szCs w:val="28"/>
              </w:rPr>
            </w:pPr>
            <w:r w:rsidRPr="001D46C2">
              <w:rPr>
                <w:rFonts w:cstheme="minorHAnsi"/>
                <w:color w:val="595959" w:themeColor="text1" w:themeTint="A6"/>
                <w:sz w:val="20"/>
                <w:szCs w:val="28"/>
              </w:rPr>
              <w:t xml:space="preserve">Responsible Person </w:t>
            </w:r>
          </w:p>
        </w:tc>
        <w:tc>
          <w:tcPr>
            <w:tcW w:w="4281" w:type="dxa"/>
            <w:tcMar/>
          </w:tcPr>
          <w:p w:rsidRPr="001D46C2" w:rsidR="00AD6496" w:rsidP="00AD6496" w:rsidRDefault="00043726" w14:paraId="4FDF1D30" w14:textId="77777777">
            <w:pPr>
              <w:spacing w:line="259" w:lineRule="auto"/>
              <w:ind w:left="14"/>
              <w:jc w:val="center"/>
              <w:rPr>
                <w:rFonts w:cstheme="minorHAnsi"/>
                <w:color w:val="595959" w:themeColor="text1" w:themeTint="A6"/>
                <w:sz w:val="20"/>
                <w:szCs w:val="28"/>
              </w:rPr>
            </w:pPr>
            <w:r>
              <w:rPr>
                <w:rFonts w:cstheme="minorHAnsi"/>
                <w:color w:val="595959" w:themeColor="text1" w:themeTint="A6"/>
                <w:sz w:val="20"/>
                <w:szCs w:val="28"/>
              </w:rPr>
              <w:t>Headteacher</w:t>
            </w:r>
          </w:p>
        </w:tc>
      </w:tr>
      <w:tr w:rsidR="00FF396A" w:rsidTr="4C325021" w14:paraId="2F4157B9" w14:textId="77777777">
        <w:trPr>
          <w:trHeight w:val="20"/>
        </w:trPr>
        <w:tc>
          <w:tcPr>
            <w:tcW w:w="5642" w:type="dxa"/>
            <w:tcMar/>
          </w:tcPr>
          <w:p w:rsidRPr="001D46C2" w:rsidR="00FF396A" w:rsidP="004A0140" w:rsidRDefault="00FF396A" w14:paraId="41BC6A18" w14:textId="71ADBCB6">
            <w:pPr>
              <w:spacing w:line="259" w:lineRule="auto"/>
              <w:rPr>
                <w:rFonts w:cstheme="minorHAnsi"/>
                <w:color w:val="595959" w:themeColor="text1" w:themeTint="A6"/>
                <w:sz w:val="20"/>
                <w:szCs w:val="28"/>
              </w:rPr>
            </w:pPr>
            <w:r>
              <w:rPr>
                <w:rFonts w:cstheme="minorHAnsi"/>
                <w:color w:val="595959" w:themeColor="text1" w:themeTint="A6"/>
                <w:sz w:val="20"/>
                <w:szCs w:val="28"/>
              </w:rPr>
              <w:t>Date last approved by the Management Committee</w:t>
            </w:r>
          </w:p>
        </w:tc>
        <w:tc>
          <w:tcPr>
            <w:tcW w:w="4281" w:type="dxa"/>
            <w:tcMar/>
          </w:tcPr>
          <w:p w:rsidR="00FF396A" w:rsidP="001F422C" w:rsidRDefault="00FF396A" w14:paraId="743EFB73" w14:textId="2C35A7B6">
            <w:pPr>
              <w:spacing w:line="259" w:lineRule="auto"/>
              <w:ind w:left="11"/>
              <w:jc w:val="center"/>
              <w:rPr>
                <w:rFonts w:cstheme="minorHAnsi"/>
                <w:color w:val="595959" w:themeColor="text1" w:themeTint="A6"/>
                <w:sz w:val="20"/>
                <w:szCs w:val="28"/>
              </w:rPr>
            </w:pPr>
            <w:r>
              <w:rPr>
                <w:rFonts w:cstheme="minorHAnsi"/>
                <w:color w:val="595959" w:themeColor="text1" w:themeTint="A6"/>
                <w:sz w:val="20"/>
                <w:szCs w:val="28"/>
              </w:rPr>
              <w:t>January 2026</w:t>
            </w:r>
          </w:p>
        </w:tc>
      </w:tr>
      <w:tr w:rsidR="00AD6496" w:rsidTr="4C325021" w14:paraId="292FB2A3" w14:textId="77777777">
        <w:trPr>
          <w:trHeight w:val="20"/>
        </w:trPr>
        <w:tc>
          <w:tcPr>
            <w:tcW w:w="5642" w:type="dxa"/>
            <w:tcMar/>
          </w:tcPr>
          <w:p w:rsidRPr="001D46C2" w:rsidR="00AD6496" w:rsidP="004A0140" w:rsidRDefault="00AD6496" w14:paraId="57CF3309" w14:textId="77777777">
            <w:pPr>
              <w:spacing w:line="259" w:lineRule="auto"/>
              <w:rPr>
                <w:rFonts w:cstheme="minorHAnsi"/>
                <w:color w:val="595959" w:themeColor="text1" w:themeTint="A6"/>
                <w:sz w:val="20"/>
                <w:szCs w:val="28"/>
              </w:rPr>
            </w:pPr>
            <w:r w:rsidRPr="001D46C2">
              <w:rPr>
                <w:rFonts w:cstheme="minorHAnsi"/>
                <w:color w:val="595959" w:themeColor="text1" w:themeTint="A6"/>
                <w:sz w:val="20"/>
                <w:szCs w:val="28"/>
              </w:rPr>
              <w:t xml:space="preserve">To Review Date </w:t>
            </w:r>
          </w:p>
        </w:tc>
        <w:tc>
          <w:tcPr>
            <w:tcW w:w="4281" w:type="dxa"/>
            <w:tcMar/>
          </w:tcPr>
          <w:p w:rsidRPr="001D46C2" w:rsidR="00AD6496" w:rsidP="001F422C" w:rsidRDefault="00784E76" w14:paraId="246B78A8" w14:textId="0BFB68CE">
            <w:pPr>
              <w:spacing w:line="259" w:lineRule="auto"/>
              <w:ind w:left="11"/>
              <w:jc w:val="center"/>
              <w:rPr>
                <w:rFonts w:cstheme="minorHAnsi"/>
                <w:color w:val="595959" w:themeColor="text1" w:themeTint="A6"/>
                <w:sz w:val="20"/>
                <w:szCs w:val="28"/>
              </w:rPr>
            </w:pPr>
            <w:r>
              <w:rPr>
                <w:rFonts w:cstheme="minorHAnsi"/>
                <w:color w:val="595959" w:themeColor="text1" w:themeTint="A6"/>
                <w:sz w:val="20"/>
                <w:szCs w:val="28"/>
              </w:rPr>
              <w:t>February 202</w:t>
            </w:r>
            <w:r w:rsidR="000C2103">
              <w:rPr>
                <w:rFonts w:cstheme="minorHAnsi"/>
                <w:color w:val="595959" w:themeColor="text1" w:themeTint="A6"/>
                <w:sz w:val="20"/>
                <w:szCs w:val="28"/>
              </w:rPr>
              <w:t>7</w:t>
            </w:r>
          </w:p>
        </w:tc>
      </w:tr>
      <w:tr w:rsidR="00AD6496" w:rsidTr="4C325021" w14:paraId="6C075CDE" w14:textId="77777777">
        <w:trPr>
          <w:trHeight w:val="20"/>
        </w:trPr>
        <w:tc>
          <w:tcPr>
            <w:tcW w:w="5642" w:type="dxa"/>
            <w:tcMar/>
          </w:tcPr>
          <w:p w:rsidRPr="001D46C2" w:rsidR="00AD6496" w:rsidP="004A0140" w:rsidRDefault="00AD6496" w14:paraId="7CB648E2" w14:textId="77777777">
            <w:pPr>
              <w:spacing w:line="259" w:lineRule="auto"/>
              <w:rPr>
                <w:rFonts w:cstheme="minorHAnsi"/>
                <w:color w:val="595959" w:themeColor="text1" w:themeTint="A6"/>
                <w:sz w:val="20"/>
                <w:szCs w:val="28"/>
              </w:rPr>
            </w:pPr>
            <w:r w:rsidRPr="001D46C2">
              <w:rPr>
                <w:rFonts w:cstheme="minorHAnsi"/>
                <w:color w:val="595959" w:themeColor="text1" w:themeTint="A6"/>
                <w:sz w:val="20"/>
                <w:szCs w:val="28"/>
              </w:rPr>
              <w:t xml:space="preserve">Last Amended Date </w:t>
            </w:r>
          </w:p>
        </w:tc>
        <w:tc>
          <w:tcPr>
            <w:tcW w:w="4281" w:type="dxa"/>
            <w:tcMar/>
          </w:tcPr>
          <w:p w:rsidRPr="001D46C2" w:rsidR="00AD6496" w:rsidP="4C325021" w:rsidRDefault="00784E76" w14:paraId="46529448" w14:textId="2B1C1D1E">
            <w:pPr>
              <w:spacing w:line="259" w:lineRule="auto"/>
              <w:ind w:left="11"/>
              <w:jc w:val="center"/>
              <w:rPr>
                <w:rFonts w:cs="Calibri" w:cstheme="minorAscii"/>
                <w:color w:val="595959" w:themeColor="text1" w:themeTint="A6"/>
                <w:sz w:val="20"/>
                <w:szCs w:val="20"/>
              </w:rPr>
            </w:pPr>
            <w:r w:rsidRPr="4C325021" w:rsidR="4C325021">
              <w:rPr>
                <w:rFonts w:cs="Calibri" w:cstheme="minorAscii"/>
                <w:color w:val="595959" w:themeColor="text1" w:themeTint="A6" w:themeShade="FF"/>
                <w:sz w:val="20"/>
                <w:szCs w:val="20"/>
              </w:rPr>
              <w:t>January 2026</w:t>
            </w:r>
          </w:p>
        </w:tc>
      </w:tr>
    </w:tbl>
    <w:p w:rsidR="00AD6496" w:rsidP="00C11A30" w:rsidRDefault="00AD6496" w14:paraId="02EB378F" w14:textId="77777777">
      <w:pPr>
        <w:spacing w:after="0" w:line="240" w:lineRule="auto"/>
        <w:rPr>
          <w:b/>
          <w:color w:val="1F497D" w:themeColor="text2"/>
          <w:sz w:val="28"/>
          <w:szCs w:val="28"/>
        </w:rPr>
      </w:pPr>
    </w:p>
    <w:p w:rsidRPr="00FD0264" w:rsidR="001866D6" w:rsidP="00BB2A25" w:rsidRDefault="001866D6" w14:paraId="6A05A809" w14:textId="77777777">
      <w:pPr>
        <w:spacing w:after="0" w:line="240" w:lineRule="auto"/>
        <w:rPr>
          <w:bCs/>
          <w:sz w:val="28"/>
        </w:rPr>
      </w:pPr>
    </w:p>
    <w:p w:rsidR="00043726" w:rsidP="00043726" w:rsidRDefault="00043726" w14:paraId="587DB408" w14:textId="593E2E45">
      <w:pPr>
        <w:spacing w:after="0" w:line="240" w:lineRule="auto"/>
        <w:jc w:val="both"/>
        <w:rPr>
          <w:b/>
          <w:color w:val="1F497D" w:themeColor="text2"/>
          <w:sz w:val="28"/>
          <w:szCs w:val="28"/>
        </w:rPr>
      </w:pPr>
      <w:r>
        <w:rPr>
          <w:b/>
          <w:color w:val="1F497D" w:themeColor="text2"/>
          <w:sz w:val="28"/>
          <w:szCs w:val="28"/>
        </w:rPr>
        <w:t>Criminal Exploitation (including County Lines) come</w:t>
      </w:r>
      <w:r w:rsidR="00DC5783">
        <w:rPr>
          <w:b/>
          <w:color w:val="1F497D" w:themeColor="text2"/>
          <w:sz w:val="28"/>
          <w:szCs w:val="28"/>
        </w:rPr>
        <w:t>s</w:t>
      </w:r>
      <w:r>
        <w:rPr>
          <w:b/>
          <w:color w:val="1F497D" w:themeColor="text2"/>
          <w:sz w:val="28"/>
          <w:szCs w:val="28"/>
        </w:rPr>
        <w:t xml:space="preserve"> under the remit of Child Protection and Safeguarding. </w:t>
      </w:r>
    </w:p>
    <w:p w:rsidR="00043726" w:rsidP="00043726" w:rsidRDefault="00043726" w14:paraId="5A39BBE3" w14:textId="77777777">
      <w:pPr>
        <w:spacing w:after="0" w:line="240" w:lineRule="auto"/>
        <w:jc w:val="both"/>
      </w:pPr>
    </w:p>
    <w:p w:rsidR="00043726" w:rsidP="00043726" w:rsidRDefault="00043726" w14:paraId="3188FAAA" w14:textId="580FF3A1">
      <w:pPr>
        <w:spacing w:after="0" w:line="240" w:lineRule="auto"/>
        <w:jc w:val="both"/>
      </w:pPr>
      <w:r>
        <w:t>This policy has a clear overlap, and should be read in conjunction with</w:t>
      </w:r>
      <w:r w:rsidR="008F7CD9">
        <w:t>,</w:t>
      </w:r>
      <w:r>
        <w:t xml:space="preserve"> our </w:t>
      </w:r>
      <w:r w:rsidR="00DC5783">
        <w:t xml:space="preserve">Child Protection &amp; </w:t>
      </w:r>
      <w:r>
        <w:t>Safeguarding policy. This policy will define Criminal Exploitation (CE) and County Lines, and will have the appropriate procedures attached.  HPRS recognises that our pupils are at risk of CE and need to ensure that all staff know what to look out for and how to respond to concerns.</w:t>
      </w:r>
    </w:p>
    <w:p w:rsidR="00043726" w:rsidP="00043726" w:rsidRDefault="00043726" w14:paraId="41C8F396" w14:textId="77777777">
      <w:pPr>
        <w:spacing w:after="0" w:line="240" w:lineRule="auto"/>
        <w:jc w:val="both"/>
      </w:pPr>
    </w:p>
    <w:p w:rsidR="00043726" w:rsidP="00043726" w:rsidRDefault="00043726" w14:paraId="5373E06F" w14:textId="77777777">
      <w:pPr>
        <w:spacing w:after="0" w:line="240" w:lineRule="auto"/>
        <w:jc w:val="both"/>
        <w:rPr>
          <w:b/>
          <w:color w:val="1F497D" w:themeColor="text2"/>
          <w:sz w:val="28"/>
          <w:szCs w:val="28"/>
        </w:rPr>
      </w:pPr>
      <w:r>
        <w:rPr>
          <w:b/>
          <w:color w:val="1F497D" w:themeColor="text2"/>
          <w:sz w:val="28"/>
          <w:szCs w:val="28"/>
        </w:rPr>
        <w:t>Child Protection Statement</w:t>
      </w:r>
    </w:p>
    <w:p w:rsidR="00043726" w:rsidP="00043726" w:rsidRDefault="00043726" w14:paraId="72A3D3EC" w14:textId="77777777">
      <w:pPr>
        <w:pStyle w:val="NoSpacing"/>
        <w:jc w:val="both"/>
        <w:rPr>
          <w:rFonts w:ascii="Calibri" w:hAnsi="Calibri"/>
          <w:sz w:val="22"/>
        </w:rPr>
      </w:pPr>
    </w:p>
    <w:p w:rsidR="00043726" w:rsidP="00043726" w:rsidRDefault="00043726" w14:paraId="750D782F" w14:textId="77777777">
      <w:pPr>
        <w:pStyle w:val="NoSpacing"/>
        <w:jc w:val="both"/>
        <w:rPr>
          <w:rFonts w:ascii="Calibri" w:hAnsi="Calibri"/>
          <w:sz w:val="22"/>
        </w:rPr>
      </w:pPr>
      <w:r>
        <w:rPr>
          <w:rFonts w:ascii="Calibri" w:hAnsi="Calibri"/>
          <w:sz w:val="22"/>
        </w:rPr>
        <w:t xml:space="preserve">The Herefordshire Pupil Referral Service (HPRS) recognises our statutory responsibility to safeguard and promote the welfare of all children.    All children regardless of age, gender, ability, culture, race, language, religion or sexual identity have equal rights to protection.  We are alert to the signs of abuse and neglect and follow our procedures to ensure that children receive effective support, protection and justice.  </w:t>
      </w:r>
      <w:r>
        <w:rPr>
          <w:rFonts w:ascii="Calibri" w:hAnsi="Calibri"/>
          <w:b/>
          <w:sz w:val="22"/>
        </w:rPr>
        <w:t>Safeguarding is everyone’s responsibility.</w:t>
      </w:r>
    </w:p>
    <w:p w:rsidR="00043726" w:rsidP="00043726" w:rsidRDefault="00043726" w14:paraId="0D0B940D" w14:textId="77777777">
      <w:pPr>
        <w:pStyle w:val="NoSpacing"/>
        <w:jc w:val="both"/>
        <w:rPr>
          <w:rFonts w:ascii="Calibri" w:hAnsi="Calibri" w:cs="Tahoma"/>
          <w:sz w:val="22"/>
          <w:szCs w:val="22"/>
        </w:rPr>
      </w:pPr>
    </w:p>
    <w:p w:rsidR="00043726" w:rsidP="00043726" w:rsidRDefault="00043726" w14:paraId="57255E15" w14:textId="77777777">
      <w:pPr>
        <w:spacing w:after="0" w:line="240" w:lineRule="auto"/>
        <w:jc w:val="both"/>
        <w:rPr>
          <w:b/>
          <w:bCs/>
          <w:color w:val="1F497D" w:themeColor="text2"/>
          <w:sz w:val="28"/>
          <w:szCs w:val="28"/>
        </w:rPr>
      </w:pPr>
      <w:r>
        <w:rPr>
          <w:b/>
          <w:bCs/>
          <w:color w:val="1F497D" w:themeColor="text2"/>
          <w:sz w:val="28"/>
          <w:szCs w:val="28"/>
        </w:rPr>
        <w:t>Aims</w:t>
      </w:r>
    </w:p>
    <w:p w:rsidR="00043726" w:rsidP="00043726" w:rsidRDefault="00043726" w14:paraId="3E835BF4" w14:textId="77777777">
      <w:pPr>
        <w:numPr>
          <w:ilvl w:val="0"/>
          <w:numId w:val="1"/>
        </w:numPr>
        <w:spacing w:after="0" w:line="240" w:lineRule="auto"/>
        <w:jc w:val="both"/>
        <w:rPr>
          <w:bCs/>
        </w:rPr>
      </w:pPr>
      <w:r>
        <w:rPr>
          <w:bCs/>
        </w:rPr>
        <w:t>To provide a safe, healthy learning environment that allows all children to develop to their full potential.</w:t>
      </w:r>
    </w:p>
    <w:p w:rsidR="00043726" w:rsidP="00043726" w:rsidRDefault="00043726" w14:paraId="63E4534A" w14:textId="77777777">
      <w:pPr>
        <w:numPr>
          <w:ilvl w:val="0"/>
          <w:numId w:val="1"/>
        </w:numPr>
        <w:spacing w:after="0" w:line="240" w:lineRule="auto"/>
        <w:jc w:val="both"/>
        <w:rPr>
          <w:bCs/>
        </w:rPr>
      </w:pPr>
      <w:r>
        <w:rPr>
          <w:bCs/>
        </w:rPr>
        <w:t>To ensure children know they can report concerns affecting their welfare and safety and know that their concerns are listened to seriously.</w:t>
      </w:r>
    </w:p>
    <w:p w:rsidR="00043726" w:rsidP="00043726" w:rsidRDefault="00043726" w14:paraId="3BDE23C4" w14:textId="77777777">
      <w:pPr>
        <w:numPr>
          <w:ilvl w:val="0"/>
          <w:numId w:val="1"/>
        </w:numPr>
        <w:spacing w:after="0" w:line="240" w:lineRule="auto"/>
        <w:jc w:val="both"/>
        <w:rPr>
          <w:bCs/>
        </w:rPr>
      </w:pPr>
      <w:r>
        <w:rPr>
          <w:bCs/>
        </w:rPr>
        <w:t>To ensure our children know who the adults are in school that they can approach if they are worried or in difficulty or concerned about one of their peers.</w:t>
      </w:r>
    </w:p>
    <w:p w:rsidR="00043726" w:rsidP="00043726" w:rsidRDefault="00043726" w14:paraId="54BF146F" w14:textId="77777777">
      <w:pPr>
        <w:numPr>
          <w:ilvl w:val="0"/>
          <w:numId w:val="1"/>
        </w:numPr>
        <w:spacing w:after="0" w:line="240" w:lineRule="auto"/>
        <w:jc w:val="both"/>
        <w:rPr>
          <w:bCs/>
        </w:rPr>
      </w:pPr>
      <w:r>
        <w:rPr>
          <w:bCs/>
        </w:rPr>
        <w:t>To ensure we equip children with the skills to keep themselves safe.</w:t>
      </w:r>
    </w:p>
    <w:p w:rsidR="00043726" w:rsidP="00043726" w:rsidRDefault="00043726" w14:paraId="61246217" w14:textId="77777777">
      <w:pPr>
        <w:numPr>
          <w:ilvl w:val="0"/>
          <w:numId w:val="1"/>
        </w:numPr>
        <w:spacing w:after="0" w:line="240" w:lineRule="auto"/>
        <w:jc w:val="both"/>
        <w:rPr>
          <w:bCs/>
        </w:rPr>
      </w:pPr>
      <w:r>
        <w:rPr>
          <w:bCs/>
        </w:rPr>
        <w:t>To identify concerns about a child’s welfare, and to initiate or take appropriate action to keep them safe.</w:t>
      </w:r>
    </w:p>
    <w:p w:rsidR="00043726" w:rsidP="00043726" w:rsidRDefault="00043726" w14:paraId="327BC1F4" w14:textId="6001C5F2">
      <w:pPr>
        <w:numPr>
          <w:ilvl w:val="0"/>
          <w:numId w:val="1"/>
        </w:numPr>
        <w:spacing w:after="0" w:line="240" w:lineRule="auto"/>
        <w:jc w:val="both"/>
        <w:rPr>
          <w:bCs/>
        </w:rPr>
      </w:pPr>
      <w:r>
        <w:rPr>
          <w:bCs/>
        </w:rPr>
        <w:t>To promote partnership working with parents/carers and other agencies involved in dealing with cases of CE.</w:t>
      </w:r>
    </w:p>
    <w:p w:rsidR="00043726" w:rsidP="00043726" w:rsidRDefault="00043726" w14:paraId="570C7343" w14:textId="13611C80">
      <w:pPr>
        <w:numPr>
          <w:ilvl w:val="0"/>
          <w:numId w:val="1"/>
        </w:numPr>
        <w:spacing w:after="0" w:line="240" w:lineRule="auto"/>
        <w:jc w:val="both"/>
        <w:rPr>
          <w:bCs/>
        </w:rPr>
      </w:pPr>
      <w:r>
        <w:rPr>
          <w:bCs/>
        </w:rPr>
        <w:t>To ensure safe</w:t>
      </w:r>
      <w:r w:rsidR="007A1959">
        <w:rPr>
          <w:bCs/>
        </w:rPr>
        <w:t>r</w:t>
      </w:r>
      <w:r>
        <w:rPr>
          <w:bCs/>
        </w:rPr>
        <w:t xml:space="preserve"> recruiting practices are followed to check the suitability of staff and volunteers who work with our students.</w:t>
      </w:r>
    </w:p>
    <w:p w:rsidR="00043726" w:rsidP="00043726" w:rsidRDefault="00043726" w14:paraId="3712EEA1" w14:textId="60660A16">
      <w:pPr>
        <w:numPr>
          <w:ilvl w:val="0"/>
          <w:numId w:val="1"/>
        </w:numPr>
        <w:spacing w:after="0" w:line="240" w:lineRule="auto"/>
        <w:jc w:val="both"/>
        <w:rPr>
          <w:bCs/>
        </w:rPr>
      </w:pPr>
      <w:r>
        <w:rPr>
          <w:bCs/>
        </w:rPr>
        <w:t>To provide all staff and volunteers with the necessary information to enable them to meet their child protection responsibilities with respect to CE.</w:t>
      </w:r>
    </w:p>
    <w:p w:rsidR="00043726" w:rsidP="00043726" w:rsidRDefault="00043726" w14:paraId="75B3F0A2" w14:textId="4B034A68">
      <w:pPr>
        <w:numPr>
          <w:ilvl w:val="0"/>
          <w:numId w:val="1"/>
        </w:numPr>
        <w:spacing w:after="0" w:line="240" w:lineRule="auto"/>
        <w:jc w:val="both"/>
        <w:rPr>
          <w:bCs/>
        </w:rPr>
      </w:pPr>
      <w:r>
        <w:rPr>
          <w:bCs/>
        </w:rPr>
        <w:t>To provide ongoing training to ensure all staff know that they have an equal responsibility to act on any suspicion or disclosure that may suggest a child is of CE.</w:t>
      </w:r>
    </w:p>
    <w:p w:rsidR="00043726" w:rsidP="00043726" w:rsidRDefault="00043726" w14:paraId="7E443662" w14:textId="79E8997B">
      <w:pPr>
        <w:numPr>
          <w:ilvl w:val="0"/>
          <w:numId w:val="1"/>
        </w:numPr>
        <w:spacing w:after="0" w:line="240" w:lineRule="auto"/>
        <w:jc w:val="both"/>
        <w:rPr>
          <w:bCs/>
        </w:rPr>
      </w:pPr>
      <w:r>
        <w:rPr>
          <w:bCs/>
        </w:rPr>
        <w:t>To develop and implement procedures for identifying and reporting cases, or suspected cases, of CE and for staff to be aware of HPRS CE and safeguarding procedures.</w:t>
      </w:r>
    </w:p>
    <w:p w:rsidR="00043726" w:rsidP="003E20A2" w:rsidRDefault="00043726" w14:paraId="494B9664" w14:textId="4352D6BF">
      <w:pPr>
        <w:numPr>
          <w:ilvl w:val="0"/>
          <w:numId w:val="1"/>
        </w:numPr>
        <w:spacing w:after="0" w:line="240" w:lineRule="auto"/>
        <w:jc w:val="both"/>
        <w:rPr>
          <w:bCs/>
        </w:rPr>
      </w:pPr>
      <w:r>
        <w:rPr>
          <w:bCs/>
        </w:rPr>
        <w:t>To ensure all staff are equipped to deal with CE and safeguarding concerns and attend regular safeguarding training.</w:t>
      </w:r>
    </w:p>
    <w:p w:rsidR="00043726" w:rsidP="003E20A2" w:rsidRDefault="00043726" w14:paraId="5DDABDB8" w14:textId="035AFBD8">
      <w:pPr>
        <w:numPr>
          <w:ilvl w:val="0"/>
          <w:numId w:val="1"/>
        </w:numPr>
        <w:spacing w:after="0" w:line="240" w:lineRule="auto"/>
        <w:jc w:val="both"/>
        <w:rPr>
          <w:bCs/>
        </w:rPr>
      </w:pPr>
      <w:r>
        <w:rPr>
          <w:bCs/>
        </w:rPr>
        <w:t>To ensure that fundamental British values are promoted and extremist views are challenged and children are kept safe from the risk of CE.</w:t>
      </w:r>
    </w:p>
    <w:p w:rsidR="00043726" w:rsidP="003E20A2" w:rsidRDefault="00043726" w14:paraId="0E27B00A" w14:textId="77777777">
      <w:pPr>
        <w:spacing w:after="0" w:line="240" w:lineRule="auto"/>
        <w:jc w:val="both"/>
        <w:rPr>
          <w:bCs/>
        </w:rPr>
      </w:pPr>
    </w:p>
    <w:p w:rsidR="00043726" w:rsidP="003E20A2" w:rsidRDefault="00043726" w14:paraId="47688C60" w14:textId="77777777">
      <w:pPr>
        <w:spacing w:after="0" w:line="240" w:lineRule="auto"/>
        <w:jc w:val="both"/>
        <w:rPr>
          <w:bCs/>
        </w:rPr>
      </w:pPr>
      <w:r>
        <w:rPr>
          <w:bCs/>
        </w:rPr>
        <w:t>We recognise that it is the responsibility of each of us to ensure that all elements of this policy are actively and consistently reflected in our practice.  We will monitor, evaluate and review the impact of this policy annually.</w:t>
      </w:r>
    </w:p>
    <w:p w:rsidR="00043726" w:rsidP="003E20A2" w:rsidRDefault="00043726" w14:paraId="60061E4C" w14:textId="77777777">
      <w:pPr>
        <w:spacing w:after="0" w:line="240" w:lineRule="auto"/>
        <w:jc w:val="both"/>
        <w:rPr>
          <w:bCs/>
        </w:rPr>
      </w:pPr>
    </w:p>
    <w:p w:rsidR="00043726" w:rsidP="00043726" w:rsidRDefault="00043726" w14:paraId="4A5A3DCA" w14:textId="77777777">
      <w:pPr>
        <w:spacing w:after="0" w:line="240" w:lineRule="auto"/>
        <w:jc w:val="both"/>
        <w:rPr>
          <w:rFonts w:eastAsia="Times New Roman" w:cstheme="minorHAnsi"/>
          <w:b/>
          <w:bCs/>
          <w:color w:val="1F497D" w:themeColor="text2"/>
          <w:kern w:val="36"/>
          <w:sz w:val="28"/>
          <w:szCs w:val="28"/>
        </w:rPr>
      </w:pPr>
      <w:r>
        <w:rPr>
          <w:rFonts w:eastAsia="Times New Roman" w:cstheme="minorHAnsi"/>
          <w:b/>
          <w:bCs/>
          <w:color w:val="1F497D" w:themeColor="text2"/>
          <w:kern w:val="36"/>
          <w:sz w:val="28"/>
          <w:szCs w:val="28"/>
        </w:rPr>
        <w:t>Criminal Exploitation</w:t>
      </w:r>
    </w:p>
    <w:p w:rsidR="00043726" w:rsidP="00043726" w:rsidRDefault="00043726" w14:paraId="44EAFD9C" w14:textId="77777777">
      <w:pPr>
        <w:shd w:val="clear" w:color="auto" w:fill="FFFFFF"/>
        <w:spacing w:after="0" w:line="300" w:lineRule="atLeast"/>
        <w:textAlignment w:val="baseline"/>
        <w:rPr>
          <w:rFonts w:eastAsia="Times New Roman" w:cstheme="minorHAnsi"/>
          <w:color w:val="333333"/>
        </w:rPr>
      </w:pPr>
    </w:p>
    <w:p w:rsidRPr="00DC5783" w:rsidR="00043726" w:rsidP="003E20A2" w:rsidRDefault="00043726" w14:paraId="61131E6E" w14:textId="0B7AA68C">
      <w:pPr>
        <w:shd w:val="clear" w:color="auto" w:fill="FFFFFF"/>
        <w:spacing w:after="0" w:line="300" w:lineRule="atLeast"/>
        <w:jc w:val="both"/>
        <w:textAlignment w:val="baseline"/>
        <w:rPr>
          <w:rFonts w:eastAsia="Times New Roman" w:cstheme="minorHAnsi"/>
        </w:rPr>
      </w:pPr>
      <w:r w:rsidRPr="00DC5783">
        <w:rPr>
          <w:rFonts w:eastAsia="Times New Roman" w:cstheme="minorHAnsi"/>
        </w:rPr>
        <w:t xml:space="preserve">CE often occurs without the victim being aware that they are being exploited and involves young people being encouraged, cajoled or threatened to carry out crime for the benefit of others. In return they are offered </w:t>
      </w:r>
      <w:r w:rsidR="00883AC5">
        <w:rPr>
          <w:rFonts w:eastAsia="Times New Roman" w:cstheme="minorHAnsi"/>
        </w:rPr>
        <w:t xml:space="preserve">not only </w:t>
      </w:r>
      <w:r w:rsidRPr="00DC5783">
        <w:rPr>
          <w:rFonts w:eastAsia="Times New Roman" w:cstheme="minorHAnsi"/>
        </w:rPr>
        <w:t xml:space="preserve">friendship or peer acceptance, but also </w:t>
      </w:r>
      <w:r w:rsidR="00DD3680">
        <w:rPr>
          <w:rFonts w:eastAsia="Times New Roman" w:cstheme="minorHAnsi"/>
        </w:rPr>
        <w:t>vapes/</w:t>
      </w:r>
      <w:r w:rsidRPr="00DC5783">
        <w:rPr>
          <w:rFonts w:eastAsia="Times New Roman" w:cstheme="minorHAnsi"/>
        </w:rPr>
        <w:t>cigarettes, drugs (especially cannabis), alcohol or even food and accommodation.</w:t>
      </w:r>
    </w:p>
    <w:p w:rsidRPr="00DC5783" w:rsidR="00043726" w:rsidP="003E20A2" w:rsidRDefault="00043726" w14:paraId="4B94D5A5" w14:textId="77777777">
      <w:pPr>
        <w:shd w:val="clear" w:color="auto" w:fill="FFFFFF"/>
        <w:spacing w:after="0" w:line="300" w:lineRule="atLeast"/>
        <w:jc w:val="both"/>
        <w:textAlignment w:val="baseline"/>
        <w:rPr>
          <w:rFonts w:eastAsia="Times New Roman" w:cstheme="minorHAnsi"/>
        </w:rPr>
      </w:pPr>
    </w:p>
    <w:p w:rsidRPr="00DC5783" w:rsidR="00043726" w:rsidP="003E20A2" w:rsidRDefault="00043726" w14:paraId="34C7EEC5" w14:textId="77777777">
      <w:pPr>
        <w:shd w:val="clear" w:color="auto" w:fill="FFFFFF"/>
        <w:spacing w:after="0" w:line="300" w:lineRule="atLeast"/>
        <w:jc w:val="both"/>
        <w:textAlignment w:val="baseline"/>
        <w:rPr>
          <w:rFonts w:eastAsia="Times New Roman" w:cstheme="minorHAnsi"/>
        </w:rPr>
      </w:pPr>
      <w:r w:rsidRPr="00DC5783">
        <w:rPr>
          <w:rFonts w:eastAsia="Times New Roman" w:cstheme="minorHAnsi"/>
        </w:rPr>
        <w:t>Young children can be groomed to enter gangs and commit crime on behalf of older criminals. These young people can be exploited and, persuaded or lured into carrying out illegal activities, often with the promise of something they desire as a reward, they become incredibly vulnerable.</w:t>
      </w:r>
    </w:p>
    <w:p w:rsidRPr="00DC5783" w:rsidR="00043726" w:rsidP="003E20A2" w:rsidRDefault="00043726" w14:paraId="3DEEC669" w14:textId="77777777">
      <w:pPr>
        <w:shd w:val="clear" w:color="auto" w:fill="FFFFFF"/>
        <w:spacing w:after="0" w:line="300" w:lineRule="atLeast"/>
        <w:jc w:val="both"/>
        <w:textAlignment w:val="baseline"/>
        <w:rPr>
          <w:rFonts w:eastAsia="Times New Roman" w:cstheme="minorHAnsi"/>
        </w:rPr>
      </w:pPr>
    </w:p>
    <w:p w:rsidRPr="00DC5783" w:rsidR="00043726" w:rsidP="003E20A2" w:rsidRDefault="00043726" w14:paraId="3A719151" w14:textId="77777777">
      <w:pPr>
        <w:shd w:val="clear" w:color="auto" w:fill="FFFFFF"/>
        <w:spacing w:after="0" w:line="300" w:lineRule="atLeast"/>
        <w:jc w:val="both"/>
        <w:textAlignment w:val="baseline"/>
        <w:rPr>
          <w:rFonts w:eastAsia="Times New Roman" w:cstheme="minorHAnsi"/>
        </w:rPr>
      </w:pPr>
      <w:r w:rsidRPr="00DC5783">
        <w:rPr>
          <w:rFonts w:eastAsia="Times New Roman" w:cstheme="minorHAnsi"/>
        </w:rPr>
        <w:t>Victims of CE are often fearful of getting into trouble themselves – for the very actions they have been exploited into carrying out – so it can be difficult to get these young people to come forward and speak out about their situation.</w:t>
      </w:r>
    </w:p>
    <w:p w:rsidR="00043726" w:rsidP="00043726" w:rsidRDefault="00043726" w14:paraId="3656B9AB" w14:textId="77777777">
      <w:pPr>
        <w:shd w:val="clear" w:color="auto" w:fill="FFFFFF"/>
        <w:spacing w:after="0" w:line="300" w:lineRule="atLeast"/>
        <w:textAlignment w:val="baseline"/>
        <w:rPr>
          <w:rFonts w:ascii="Arial" w:hAnsi="Arial" w:eastAsia="Times New Roman" w:cs="Arial"/>
          <w:color w:val="333333"/>
          <w:sz w:val="21"/>
          <w:szCs w:val="21"/>
        </w:rPr>
      </w:pPr>
    </w:p>
    <w:p w:rsidR="00043726" w:rsidP="00043726" w:rsidRDefault="00043726" w14:paraId="7F04ADA5" w14:textId="77777777">
      <w:pPr>
        <w:spacing w:after="0" w:line="240" w:lineRule="auto"/>
        <w:textAlignment w:val="baseline"/>
        <w:outlineLvl w:val="3"/>
        <w:rPr>
          <w:rFonts w:eastAsia="Times New Roman" w:cstheme="minorHAnsi"/>
          <w:b/>
          <w:bCs/>
          <w:color w:val="1F497D" w:themeColor="text2"/>
          <w:sz w:val="28"/>
          <w:szCs w:val="28"/>
        </w:rPr>
      </w:pPr>
      <w:r>
        <w:rPr>
          <w:rFonts w:eastAsia="Times New Roman" w:cstheme="minorHAnsi"/>
          <w:b/>
          <w:bCs/>
          <w:color w:val="1F497D" w:themeColor="text2"/>
          <w:sz w:val="28"/>
          <w:szCs w:val="28"/>
          <w:bdr w:val="none" w:color="auto" w:sz="0" w:space="0" w:frame="1"/>
        </w:rPr>
        <w:t>County Lines</w:t>
      </w:r>
    </w:p>
    <w:p w:rsidR="00043726" w:rsidP="00043726" w:rsidRDefault="00043726" w14:paraId="45FB0818" w14:textId="77777777">
      <w:pPr>
        <w:spacing w:after="0" w:line="240" w:lineRule="auto"/>
        <w:textAlignment w:val="baseline"/>
        <w:outlineLvl w:val="3"/>
        <w:rPr>
          <w:rFonts w:eastAsia="Times New Roman" w:cstheme="minorHAnsi"/>
          <w:color w:val="333333"/>
        </w:rPr>
      </w:pPr>
    </w:p>
    <w:p w:rsidRPr="00DC5783" w:rsidR="00043726" w:rsidP="003E20A2" w:rsidRDefault="00043726" w14:paraId="1B7AA6AC" w14:textId="77777777">
      <w:pPr>
        <w:spacing w:after="0" w:line="300" w:lineRule="atLeast"/>
        <w:jc w:val="both"/>
        <w:textAlignment w:val="baseline"/>
        <w:outlineLvl w:val="3"/>
        <w:rPr>
          <w:rFonts w:eastAsia="Times New Roman" w:cstheme="minorHAnsi"/>
          <w:b/>
          <w:bCs/>
        </w:rPr>
      </w:pPr>
      <w:r w:rsidRPr="00DC5783">
        <w:rPr>
          <w:rFonts w:eastAsia="Times New Roman" w:cstheme="minorHAnsi"/>
        </w:rPr>
        <w:t xml:space="preserve">County lines is a term used to describe gangs, groups or drug networks that supply drugs from urban to suburban areas across the country, including market and coastal towns, using dedicated mobile phone lines or ‘deal lines’. They exploit children and vulnerable adults to move the drugs and money to and from the urban area. </w:t>
      </w:r>
      <w:r w:rsidRPr="00DC5783">
        <w:rPr>
          <w:rFonts w:eastAsia="Times New Roman" w:cstheme="minorHAnsi"/>
          <w:bCs/>
        </w:rPr>
        <w:t>Gangs establish a base in the market location, typically by taking over the homes of local vulnerable adults by force or coercion.</w:t>
      </w:r>
    </w:p>
    <w:p w:rsidRPr="00DC5783" w:rsidR="00043726" w:rsidP="003E20A2" w:rsidRDefault="00043726" w14:paraId="049F31CB" w14:textId="77777777">
      <w:pPr>
        <w:spacing w:after="0" w:line="300" w:lineRule="atLeast"/>
        <w:jc w:val="both"/>
        <w:textAlignment w:val="baseline"/>
        <w:outlineLvl w:val="3"/>
        <w:rPr>
          <w:rFonts w:eastAsia="Times New Roman" w:cstheme="minorHAnsi"/>
          <w:b/>
          <w:bCs/>
        </w:rPr>
      </w:pPr>
    </w:p>
    <w:p w:rsidRPr="00DC5783" w:rsidR="00043726" w:rsidP="003E20A2" w:rsidRDefault="00043726" w14:paraId="17D163A7" w14:textId="3C57CDB8">
      <w:pPr>
        <w:spacing w:after="0" w:line="300" w:lineRule="atLeast"/>
        <w:jc w:val="both"/>
        <w:textAlignment w:val="baseline"/>
        <w:rPr>
          <w:rFonts w:eastAsia="Times New Roman" w:cstheme="minorHAnsi"/>
        </w:rPr>
      </w:pPr>
      <w:r w:rsidRPr="00DC5783">
        <w:rPr>
          <w:rFonts w:eastAsia="Times New Roman" w:cstheme="minorHAnsi"/>
        </w:rPr>
        <w:t>County lines is a major issue involving drugs, violence, gangs, safeguarding, criminal and sexual exploitation, modern slavery and missing persons; the response to tackle it involves the police, the National Crime Agency, a wide range of Government departments, local government agencies and VCS (voluntary and community sector) organisations. County lines activity and the associated violence, drug dealing and exploitation has a devastating impact on young people, vulnerable adults and local communities.</w:t>
      </w:r>
    </w:p>
    <w:p w:rsidR="00043726" w:rsidP="00043726" w:rsidRDefault="00043726" w14:paraId="53128261" w14:textId="77777777">
      <w:pPr>
        <w:rPr>
          <w:rFonts w:eastAsia="Times New Roman" w:cstheme="minorHAnsi"/>
          <w:b/>
          <w:bCs/>
          <w:color w:val="1F497D" w:themeColor="text2"/>
          <w:sz w:val="28"/>
          <w:szCs w:val="28"/>
          <w:bdr w:val="none" w:color="auto" w:sz="0" w:space="0" w:frame="1"/>
        </w:rPr>
      </w:pPr>
      <w:r>
        <w:rPr>
          <w:rFonts w:eastAsia="Times New Roman" w:cstheme="minorHAnsi"/>
          <w:b/>
          <w:bCs/>
          <w:color w:val="1F497D" w:themeColor="text2"/>
          <w:sz w:val="28"/>
          <w:szCs w:val="28"/>
          <w:bdr w:val="none" w:color="auto" w:sz="0" w:space="0" w:frame="1"/>
        </w:rPr>
        <w:br w:type="page"/>
      </w:r>
    </w:p>
    <w:p w:rsidR="00043726" w:rsidP="00043726" w:rsidRDefault="00043726" w14:paraId="03DD8641" w14:textId="77777777">
      <w:pPr>
        <w:spacing w:after="0" w:line="294" w:lineRule="atLeast"/>
        <w:textAlignment w:val="baseline"/>
        <w:rPr>
          <w:rFonts w:eastAsia="Times New Roman" w:cstheme="minorHAnsi"/>
          <w:color w:val="000000"/>
        </w:rPr>
      </w:pPr>
      <w:r>
        <w:rPr>
          <w:rFonts w:eastAsia="Times New Roman" w:cstheme="minorHAnsi"/>
          <w:b/>
          <w:bCs/>
          <w:color w:val="1F497D" w:themeColor="text2"/>
          <w:sz w:val="28"/>
          <w:szCs w:val="28"/>
          <w:bdr w:val="none" w:color="auto" w:sz="0" w:space="0" w:frame="1"/>
        </w:rPr>
        <w:t>Staff at HPRS look out for signs</w:t>
      </w:r>
      <w:r>
        <w:rPr>
          <w:rFonts w:eastAsia="Times New Roman" w:cstheme="minorHAnsi"/>
          <w:color w:val="000000"/>
          <w:sz w:val="21"/>
          <w:szCs w:val="21"/>
        </w:rPr>
        <w:br/>
      </w:r>
    </w:p>
    <w:p w:rsidR="00043726" w:rsidP="003E20A2" w:rsidRDefault="00043726" w14:paraId="3C38594F" w14:textId="77777777">
      <w:pPr>
        <w:spacing w:after="0" w:line="300" w:lineRule="atLeast"/>
        <w:jc w:val="both"/>
        <w:textAlignment w:val="baseline"/>
        <w:rPr>
          <w:rFonts w:eastAsia="Times New Roman" w:cstheme="minorHAnsi"/>
          <w:color w:val="000000"/>
        </w:rPr>
      </w:pPr>
      <w:r>
        <w:rPr>
          <w:rFonts w:eastAsia="Times New Roman" w:cstheme="minorHAnsi"/>
          <w:color w:val="000000"/>
        </w:rPr>
        <w:t>A young person’s involvement in county lines activity often leaves signs. A young person might exhibit some of these signs, either as a member or as an associate of a gang dealing drugs. Any sudden changes in a young person’s lifestyle should be discussed with them. Some indicators of county lines involvement and exploitation are listed below, with those at the top of particular concern:</w:t>
      </w:r>
    </w:p>
    <w:p w:rsidR="00043726" w:rsidP="003E20A2" w:rsidRDefault="00043726" w14:paraId="5C479765" w14:textId="3B04B546">
      <w:pPr>
        <w:pStyle w:val="ListParagraph"/>
        <w:numPr>
          <w:ilvl w:val="0"/>
          <w:numId w:val="8"/>
        </w:numPr>
        <w:spacing w:after="0" w:line="300" w:lineRule="atLeast"/>
        <w:jc w:val="both"/>
        <w:textAlignment w:val="baseline"/>
        <w:rPr>
          <w:rFonts w:eastAsia="Times New Roman" w:cstheme="minorHAnsi"/>
          <w:color w:val="000000"/>
        </w:rPr>
      </w:pPr>
      <w:r>
        <w:rPr>
          <w:rFonts w:eastAsia="Times New Roman" w:cstheme="minorHAnsi"/>
          <w:color w:val="000000"/>
        </w:rPr>
        <w:t>Persistently going missing from school or home and / or being found out-of-area</w:t>
      </w:r>
    </w:p>
    <w:p w:rsidR="00043726" w:rsidP="003E20A2" w:rsidRDefault="00043726" w14:paraId="4ABC247C" w14:textId="77777777">
      <w:pPr>
        <w:pStyle w:val="ListParagraph"/>
        <w:numPr>
          <w:ilvl w:val="0"/>
          <w:numId w:val="8"/>
        </w:numPr>
        <w:spacing w:after="0" w:line="300" w:lineRule="atLeast"/>
        <w:jc w:val="both"/>
        <w:textAlignment w:val="baseline"/>
        <w:rPr>
          <w:rFonts w:eastAsia="Times New Roman" w:cstheme="minorHAnsi"/>
          <w:color w:val="000000"/>
        </w:rPr>
      </w:pPr>
      <w:r>
        <w:rPr>
          <w:rFonts w:eastAsia="Times New Roman" w:cstheme="minorHAnsi"/>
          <w:color w:val="000000"/>
        </w:rPr>
        <w:t>Unexplained acquisition of money, clothes, or mobile phones</w:t>
      </w:r>
    </w:p>
    <w:p w:rsidR="00043726" w:rsidP="003E20A2" w:rsidRDefault="00043726" w14:paraId="04BE9B98" w14:textId="77777777">
      <w:pPr>
        <w:pStyle w:val="ListParagraph"/>
        <w:numPr>
          <w:ilvl w:val="0"/>
          <w:numId w:val="8"/>
        </w:numPr>
        <w:spacing w:after="0" w:line="300" w:lineRule="atLeast"/>
        <w:jc w:val="both"/>
        <w:textAlignment w:val="baseline"/>
        <w:rPr>
          <w:rFonts w:eastAsia="Times New Roman" w:cstheme="minorHAnsi"/>
          <w:color w:val="000000"/>
        </w:rPr>
      </w:pPr>
      <w:r>
        <w:rPr>
          <w:rFonts w:eastAsia="Times New Roman" w:cstheme="minorHAnsi"/>
          <w:color w:val="000000"/>
        </w:rPr>
        <w:t>Excessive receipt of texts / phone calls</w:t>
      </w:r>
    </w:p>
    <w:p w:rsidR="00043726" w:rsidP="003E20A2" w:rsidRDefault="00043726" w14:paraId="5424CF06" w14:textId="77777777">
      <w:pPr>
        <w:pStyle w:val="ListParagraph"/>
        <w:numPr>
          <w:ilvl w:val="0"/>
          <w:numId w:val="8"/>
        </w:numPr>
        <w:spacing w:after="0" w:line="300" w:lineRule="atLeast"/>
        <w:jc w:val="both"/>
        <w:textAlignment w:val="baseline"/>
        <w:rPr>
          <w:rFonts w:eastAsia="Times New Roman" w:cstheme="minorHAnsi"/>
          <w:color w:val="000000"/>
        </w:rPr>
      </w:pPr>
      <w:r>
        <w:rPr>
          <w:rFonts w:eastAsia="Times New Roman" w:cstheme="minorHAnsi"/>
          <w:color w:val="000000"/>
        </w:rPr>
        <w:t>Relationships with controlling / older individuals or groups</w:t>
      </w:r>
    </w:p>
    <w:p w:rsidR="00043726" w:rsidP="003E20A2" w:rsidRDefault="00043726" w14:paraId="440EB596" w14:textId="77777777">
      <w:pPr>
        <w:pStyle w:val="ListParagraph"/>
        <w:numPr>
          <w:ilvl w:val="0"/>
          <w:numId w:val="8"/>
        </w:numPr>
        <w:spacing w:after="0" w:line="300" w:lineRule="atLeast"/>
        <w:jc w:val="both"/>
        <w:textAlignment w:val="baseline"/>
        <w:rPr>
          <w:rFonts w:eastAsia="Times New Roman" w:cstheme="minorHAnsi"/>
          <w:color w:val="000000"/>
        </w:rPr>
      </w:pPr>
      <w:r>
        <w:rPr>
          <w:rFonts w:eastAsia="Times New Roman" w:cstheme="minorHAnsi"/>
          <w:color w:val="000000"/>
        </w:rPr>
        <w:t>Leaving home / care without explanation</w:t>
      </w:r>
    </w:p>
    <w:p w:rsidR="00043726" w:rsidP="003E20A2" w:rsidRDefault="00043726" w14:paraId="0BB5A1ED" w14:textId="77777777">
      <w:pPr>
        <w:pStyle w:val="ListParagraph"/>
        <w:numPr>
          <w:ilvl w:val="0"/>
          <w:numId w:val="8"/>
        </w:numPr>
        <w:spacing w:after="0" w:line="300" w:lineRule="atLeast"/>
        <w:jc w:val="both"/>
        <w:textAlignment w:val="baseline"/>
        <w:rPr>
          <w:rFonts w:eastAsia="Times New Roman" w:cstheme="minorHAnsi"/>
          <w:color w:val="000000"/>
        </w:rPr>
      </w:pPr>
      <w:r>
        <w:rPr>
          <w:rFonts w:eastAsia="Times New Roman" w:cstheme="minorHAnsi"/>
          <w:color w:val="000000"/>
        </w:rPr>
        <w:t>Suspicion of physical assault / unexplained injuries</w:t>
      </w:r>
    </w:p>
    <w:p w:rsidR="00043726" w:rsidP="003E20A2" w:rsidRDefault="00043726" w14:paraId="5F39923A" w14:textId="77777777">
      <w:pPr>
        <w:pStyle w:val="ListParagraph"/>
        <w:numPr>
          <w:ilvl w:val="0"/>
          <w:numId w:val="8"/>
        </w:numPr>
        <w:spacing w:after="0" w:line="300" w:lineRule="atLeast"/>
        <w:jc w:val="both"/>
        <w:textAlignment w:val="baseline"/>
        <w:rPr>
          <w:rFonts w:eastAsia="Times New Roman" w:cstheme="minorHAnsi"/>
          <w:color w:val="000000"/>
        </w:rPr>
      </w:pPr>
      <w:r>
        <w:rPr>
          <w:rFonts w:eastAsia="Times New Roman" w:cstheme="minorHAnsi"/>
          <w:color w:val="000000"/>
        </w:rPr>
        <w:t>Parental concerns</w:t>
      </w:r>
    </w:p>
    <w:p w:rsidR="00043726" w:rsidP="003E20A2" w:rsidRDefault="00043726" w14:paraId="483DCCE8" w14:textId="77777777">
      <w:pPr>
        <w:pStyle w:val="ListParagraph"/>
        <w:numPr>
          <w:ilvl w:val="0"/>
          <w:numId w:val="8"/>
        </w:numPr>
        <w:spacing w:after="0" w:line="300" w:lineRule="atLeast"/>
        <w:jc w:val="both"/>
        <w:textAlignment w:val="baseline"/>
        <w:rPr>
          <w:rFonts w:eastAsia="Times New Roman" w:cstheme="minorHAnsi"/>
          <w:color w:val="000000"/>
        </w:rPr>
      </w:pPr>
      <w:r>
        <w:rPr>
          <w:rFonts w:eastAsia="Times New Roman" w:cstheme="minorHAnsi"/>
          <w:color w:val="000000"/>
        </w:rPr>
        <w:t>Carrying weapons</w:t>
      </w:r>
    </w:p>
    <w:p w:rsidR="00043726" w:rsidP="003E20A2" w:rsidRDefault="00043726" w14:paraId="07C761B8" w14:textId="77777777">
      <w:pPr>
        <w:pStyle w:val="ListParagraph"/>
        <w:numPr>
          <w:ilvl w:val="0"/>
          <w:numId w:val="8"/>
        </w:numPr>
        <w:spacing w:after="0" w:line="300" w:lineRule="atLeast"/>
        <w:jc w:val="both"/>
        <w:textAlignment w:val="baseline"/>
        <w:rPr>
          <w:rFonts w:eastAsia="Times New Roman" w:cstheme="minorHAnsi"/>
          <w:color w:val="000000"/>
        </w:rPr>
      </w:pPr>
      <w:r>
        <w:rPr>
          <w:rFonts w:eastAsia="Times New Roman" w:cstheme="minorHAnsi"/>
          <w:color w:val="000000"/>
        </w:rPr>
        <w:t>Significant decline in school results / performance</w:t>
      </w:r>
    </w:p>
    <w:p w:rsidR="00043726" w:rsidP="003E20A2" w:rsidRDefault="00043726" w14:paraId="78E9C04F" w14:textId="77777777">
      <w:pPr>
        <w:pStyle w:val="ListParagraph"/>
        <w:numPr>
          <w:ilvl w:val="0"/>
          <w:numId w:val="8"/>
        </w:numPr>
        <w:spacing w:after="0" w:line="300" w:lineRule="atLeast"/>
        <w:jc w:val="both"/>
        <w:textAlignment w:val="baseline"/>
        <w:rPr>
          <w:rFonts w:eastAsia="Times New Roman" w:cstheme="minorHAnsi"/>
          <w:color w:val="000000"/>
        </w:rPr>
      </w:pPr>
      <w:r>
        <w:rPr>
          <w:rFonts w:eastAsia="Times New Roman" w:cstheme="minorHAnsi"/>
          <w:color w:val="000000"/>
        </w:rPr>
        <w:t>Gang association or isolation from peers or social networks</w:t>
      </w:r>
    </w:p>
    <w:p w:rsidR="00043726" w:rsidP="003E20A2" w:rsidRDefault="00043726" w14:paraId="05CE9070" w14:textId="77777777">
      <w:pPr>
        <w:pStyle w:val="ListParagraph"/>
        <w:numPr>
          <w:ilvl w:val="0"/>
          <w:numId w:val="8"/>
        </w:numPr>
        <w:spacing w:after="0" w:line="300" w:lineRule="atLeast"/>
        <w:jc w:val="both"/>
        <w:textAlignment w:val="baseline"/>
        <w:rPr>
          <w:rFonts w:eastAsia="Times New Roman" w:cstheme="minorHAnsi"/>
          <w:color w:val="000000"/>
        </w:rPr>
      </w:pPr>
      <w:r>
        <w:rPr>
          <w:rFonts w:eastAsia="Times New Roman" w:cstheme="minorHAnsi"/>
          <w:color w:val="000000"/>
        </w:rPr>
        <w:t>Self-harm or significant changes in emotional well-being</w:t>
      </w:r>
    </w:p>
    <w:p w:rsidR="00043726" w:rsidP="003E20A2" w:rsidRDefault="00043726" w14:paraId="62486C05" w14:textId="77777777">
      <w:pPr>
        <w:shd w:val="clear" w:color="auto" w:fill="FFFFFF"/>
        <w:spacing w:after="0" w:line="300" w:lineRule="atLeast"/>
        <w:jc w:val="both"/>
        <w:textAlignment w:val="baseline"/>
        <w:rPr>
          <w:rFonts w:ascii="Arial" w:hAnsi="Arial" w:eastAsia="Times New Roman" w:cs="Arial"/>
          <w:color w:val="333333"/>
          <w:sz w:val="21"/>
          <w:szCs w:val="21"/>
        </w:rPr>
      </w:pPr>
    </w:p>
    <w:p w:rsidR="00043726" w:rsidP="00043726" w:rsidRDefault="00043726" w14:paraId="63C98753" w14:textId="77777777">
      <w:pPr>
        <w:spacing w:after="0" w:line="240" w:lineRule="auto"/>
        <w:jc w:val="both"/>
        <w:rPr>
          <w:b/>
          <w:bCs/>
          <w:color w:val="1F497D" w:themeColor="text2"/>
          <w:sz w:val="28"/>
          <w:szCs w:val="28"/>
        </w:rPr>
      </w:pPr>
      <w:r>
        <w:rPr>
          <w:b/>
          <w:bCs/>
          <w:color w:val="1F497D" w:themeColor="text2"/>
          <w:sz w:val="28"/>
          <w:szCs w:val="28"/>
        </w:rPr>
        <w:t>Equality statement</w:t>
      </w:r>
    </w:p>
    <w:p w:rsidR="00043726" w:rsidP="00043726" w:rsidRDefault="00043726" w14:paraId="4101652C" w14:textId="77777777">
      <w:pPr>
        <w:spacing w:after="0"/>
      </w:pPr>
    </w:p>
    <w:p w:rsidR="00043726" w:rsidP="00A33477" w:rsidRDefault="00043726" w14:paraId="2607FA74" w14:textId="648F8302">
      <w:pPr>
        <w:spacing w:after="0" w:line="300" w:lineRule="atLeast"/>
        <w:jc w:val="both"/>
      </w:pPr>
      <w:r>
        <w:t>Our pupils have an increased</w:t>
      </w:r>
      <w:r w:rsidR="00DC5783">
        <w:t xml:space="preserve"> risk of abuse or exploitation </w:t>
      </w:r>
      <w:r>
        <w:t>and additional barriers can exist for them to recognise or disclose it. We are committed to anti-discriminatory p</w:t>
      </w:r>
      <w:r w:rsidR="00DC5783">
        <w:t>ractice and recognise our pupil</w:t>
      </w:r>
      <w:r>
        <w:t>s</w:t>
      </w:r>
      <w:r w:rsidR="00DC5783">
        <w:t>’</w:t>
      </w:r>
      <w:r>
        <w:t xml:space="preserve"> diverse circumstance</w:t>
      </w:r>
      <w:r w:rsidR="00DC5783">
        <w:t>s. We ensure that all our pupil</w:t>
      </w:r>
      <w:r>
        <w:t>s have the same protection, regardless of any barriers they may face.</w:t>
      </w:r>
    </w:p>
    <w:p w:rsidR="00DC5783" w:rsidP="00A33477" w:rsidRDefault="00DC5783" w14:paraId="70A1DF0E" w14:textId="77777777">
      <w:pPr>
        <w:spacing w:after="0" w:line="300" w:lineRule="atLeast"/>
        <w:jc w:val="both"/>
      </w:pPr>
    </w:p>
    <w:p w:rsidR="00043726" w:rsidP="0001171D" w:rsidRDefault="00043726" w14:paraId="449DA914" w14:textId="77777777">
      <w:pPr>
        <w:spacing w:after="0" w:line="300" w:lineRule="atLeast"/>
        <w:jc w:val="both"/>
      </w:pPr>
      <w:r>
        <w:t>We give special consideration to children who:</w:t>
      </w:r>
    </w:p>
    <w:p w:rsidR="00043726" w:rsidP="0001171D" w:rsidRDefault="00043726" w14:paraId="5A27307A" w14:textId="77777777">
      <w:pPr>
        <w:pStyle w:val="ListParagraph"/>
        <w:numPr>
          <w:ilvl w:val="0"/>
          <w:numId w:val="9"/>
        </w:numPr>
        <w:spacing w:after="0" w:line="300" w:lineRule="atLeast"/>
        <w:jc w:val="both"/>
        <w:rPr>
          <w:rFonts w:eastAsia="Arial"/>
        </w:rPr>
      </w:pPr>
      <w:r>
        <w:rPr>
          <w:rFonts w:eastAsia="Arial"/>
        </w:rPr>
        <w:t>Have special educational needs (SEN) or disabilities</w:t>
      </w:r>
    </w:p>
    <w:p w:rsidR="00043726" w:rsidP="0001171D" w:rsidRDefault="00043726" w14:paraId="4A02689D" w14:textId="77777777">
      <w:pPr>
        <w:pStyle w:val="ListParagraph"/>
        <w:numPr>
          <w:ilvl w:val="0"/>
          <w:numId w:val="9"/>
        </w:numPr>
        <w:spacing w:after="0" w:line="300" w:lineRule="atLeast"/>
        <w:jc w:val="both"/>
        <w:rPr>
          <w:rFonts w:eastAsia="Arial"/>
        </w:rPr>
      </w:pPr>
      <w:r>
        <w:rPr>
          <w:rFonts w:eastAsia="Arial"/>
        </w:rPr>
        <w:t>Are young carers</w:t>
      </w:r>
    </w:p>
    <w:p w:rsidR="00043726" w:rsidP="0001171D" w:rsidRDefault="00043726" w14:paraId="464FFF89" w14:textId="77777777">
      <w:pPr>
        <w:pStyle w:val="ListParagraph"/>
        <w:numPr>
          <w:ilvl w:val="0"/>
          <w:numId w:val="9"/>
        </w:numPr>
        <w:spacing w:after="0" w:line="300" w:lineRule="atLeast"/>
        <w:jc w:val="both"/>
        <w:rPr>
          <w:rFonts w:eastAsia="Arial"/>
        </w:rPr>
      </w:pPr>
      <w:r>
        <w:rPr>
          <w:rFonts w:eastAsia="Arial"/>
        </w:rPr>
        <w:t xml:space="preserve">May experience discrimination due to their race, ethnicity, religion, gender identification or sexuality </w:t>
      </w:r>
    </w:p>
    <w:p w:rsidR="00043726" w:rsidP="0001171D" w:rsidRDefault="00043726" w14:paraId="6E4CCC2D" w14:textId="77777777">
      <w:pPr>
        <w:pStyle w:val="ListParagraph"/>
        <w:numPr>
          <w:ilvl w:val="0"/>
          <w:numId w:val="9"/>
        </w:numPr>
        <w:spacing w:after="0" w:line="300" w:lineRule="atLeast"/>
        <w:jc w:val="both"/>
        <w:rPr>
          <w:rFonts w:eastAsia="Arial"/>
        </w:rPr>
      </w:pPr>
      <w:r>
        <w:rPr>
          <w:rFonts w:eastAsia="Arial"/>
        </w:rPr>
        <w:t>Have English as an additional language</w:t>
      </w:r>
    </w:p>
    <w:p w:rsidR="00043726" w:rsidP="0001171D" w:rsidRDefault="00043726" w14:paraId="29F55830" w14:textId="77777777">
      <w:pPr>
        <w:pStyle w:val="ListParagraph"/>
        <w:numPr>
          <w:ilvl w:val="0"/>
          <w:numId w:val="9"/>
        </w:numPr>
        <w:spacing w:after="0" w:line="300" w:lineRule="atLeast"/>
        <w:jc w:val="both"/>
        <w:rPr>
          <w:rFonts w:eastAsia="Arial"/>
        </w:rPr>
      </w:pPr>
      <w:r>
        <w:rPr>
          <w:rFonts w:eastAsia="Arial"/>
        </w:rPr>
        <w:t xml:space="preserve">Are known to be living in difficult situations – for example, temporary accommodation or where there are issues such as substance abuse or domestic violence </w:t>
      </w:r>
    </w:p>
    <w:p w:rsidR="00043726" w:rsidP="0001171D" w:rsidRDefault="00043726" w14:paraId="7BDF88D4" w14:textId="77777777">
      <w:pPr>
        <w:pStyle w:val="ListParagraph"/>
        <w:numPr>
          <w:ilvl w:val="0"/>
          <w:numId w:val="9"/>
        </w:numPr>
        <w:spacing w:after="0" w:line="300" w:lineRule="atLeast"/>
        <w:jc w:val="both"/>
        <w:rPr>
          <w:rFonts w:eastAsia="Arial"/>
        </w:rPr>
      </w:pPr>
      <w:r>
        <w:rPr>
          <w:rFonts w:eastAsia="Arial"/>
        </w:rPr>
        <w:t>Are at risk of criminal exploitation, FGM, sexual exploitation, forced marriage, or radicalisation</w:t>
      </w:r>
    </w:p>
    <w:p w:rsidR="00043726" w:rsidP="0001171D" w:rsidRDefault="00043726" w14:paraId="2E5BD488" w14:textId="77777777">
      <w:pPr>
        <w:pStyle w:val="ListParagraph"/>
        <w:numPr>
          <w:ilvl w:val="0"/>
          <w:numId w:val="9"/>
        </w:numPr>
        <w:spacing w:after="0" w:line="300" w:lineRule="atLeast"/>
        <w:jc w:val="both"/>
        <w:rPr>
          <w:rFonts w:eastAsia="Arial"/>
        </w:rPr>
      </w:pPr>
      <w:r>
        <w:rPr>
          <w:rFonts w:eastAsia="Arial"/>
        </w:rPr>
        <w:t>Are asylum seekers</w:t>
      </w:r>
    </w:p>
    <w:p w:rsidR="00043726" w:rsidP="0001171D" w:rsidRDefault="00043726" w14:paraId="6CEE16F2" w14:textId="77777777">
      <w:pPr>
        <w:pStyle w:val="ListParagraph"/>
        <w:numPr>
          <w:ilvl w:val="0"/>
          <w:numId w:val="9"/>
        </w:numPr>
        <w:spacing w:after="0" w:line="300" w:lineRule="atLeast"/>
        <w:jc w:val="both"/>
      </w:pPr>
      <w:r>
        <w:rPr>
          <w:rFonts w:eastAsia="Arial"/>
        </w:rPr>
        <w:t xml:space="preserve">Are at risk due to either their own or a family member’s mental health needs </w:t>
      </w:r>
    </w:p>
    <w:p w:rsidR="00043726" w:rsidP="0001171D" w:rsidRDefault="00043726" w14:paraId="59BE4F89" w14:textId="77777777">
      <w:pPr>
        <w:pStyle w:val="ListParagraph"/>
        <w:numPr>
          <w:ilvl w:val="0"/>
          <w:numId w:val="9"/>
        </w:numPr>
        <w:spacing w:after="0" w:line="300" w:lineRule="atLeast"/>
        <w:jc w:val="both"/>
      </w:pPr>
      <w:r>
        <w:rPr>
          <w:rFonts w:eastAsia="Arial"/>
        </w:rPr>
        <w:t>Are looked after or previously looked after</w:t>
      </w:r>
    </w:p>
    <w:p w:rsidR="00043726" w:rsidP="00043726" w:rsidRDefault="00043726" w14:paraId="4B99056E" w14:textId="77777777">
      <w:pPr>
        <w:spacing w:after="0" w:line="240" w:lineRule="auto"/>
        <w:jc w:val="both"/>
        <w:rPr>
          <w:b/>
          <w:bCs/>
          <w:sz w:val="28"/>
        </w:rPr>
      </w:pPr>
    </w:p>
    <w:p w:rsidR="00043726" w:rsidP="00043726" w:rsidRDefault="00043726" w14:paraId="4A5278C6" w14:textId="77777777">
      <w:pPr>
        <w:spacing w:after="0" w:line="240" w:lineRule="auto"/>
        <w:jc w:val="both"/>
        <w:rPr>
          <w:b/>
          <w:bCs/>
          <w:color w:val="1F497D" w:themeColor="text2"/>
          <w:sz w:val="28"/>
          <w:szCs w:val="28"/>
        </w:rPr>
      </w:pPr>
      <w:r>
        <w:rPr>
          <w:b/>
          <w:bCs/>
          <w:color w:val="1F497D" w:themeColor="text2"/>
          <w:sz w:val="28"/>
          <w:szCs w:val="28"/>
        </w:rPr>
        <w:t>Roles and Responsibilities</w:t>
      </w:r>
    </w:p>
    <w:p w:rsidR="00043726" w:rsidP="00043726" w:rsidRDefault="00043726" w14:paraId="1299C43A" w14:textId="77777777">
      <w:pPr>
        <w:spacing w:after="0" w:line="240" w:lineRule="auto"/>
        <w:jc w:val="both"/>
        <w:rPr>
          <w:bCs/>
        </w:rPr>
      </w:pPr>
    </w:p>
    <w:p w:rsidR="00043726" w:rsidP="0001171D" w:rsidRDefault="00043726" w14:paraId="1EA070DC" w14:textId="77777777">
      <w:pPr>
        <w:spacing w:after="0" w:line="300" w:lineRule="atLeast"/>
        <w:jc w:val="both"/>
        <w:rPr>
          <w:bCs/>
        </w:rPr>
      </w:pPr>
      <w:r>
        <w:rPr>
          <w:bCs/>
        </w:rPr>
        <w:t>We recognise that child protection in relation to CE is the responsibility of all staff working within the HPRS.  Our role is summarised as;</w:t>
      </w:r>
    </w:p>
    <w:p w:rsidR="00043726" w:rsidP="0001171D" w:rsidRDefault="00043726" w14:paraId="64525CE5" w14:textId="522DF2AE">
      <w:pPr>
        <w:pStyle w:val="ListParagraph"/>
        <w:numPr>
          <w:ilvl w:val="0"/>
          <w:numId w:val="7"/>
        </w:numPr>
        <w:spacing w:after="0" w:line="300" w:lineRule="atLeast"/>
        <w:jc w:val="both"/>
        <w:rPr>
          <w:bCs/>
        </w:rPr>
      </w:pPr>
      <w:r>
        <w:rPr>
          <w:bCs/>
        </w:rPr>
        <w:t>Protecting pupils from maltreatment, physical, emotional and sexual abuse or exploitation</w:t>
      </w:r>
    </w:p>
    <w:p w:rsidR="00043726" w:rsidP="0001171D" w:rsidRDefault="00043726" w14:paraId="310116D2" w14:textId="47C3D194">
      <w:pPr>
        <w:pStyle w:val="ListParagraph"/>
        <w:numPr>
          <w:ilvl w:val="0"/>
          <w:numId w:val="5"/>
        </w:numPr>
        <w:spacing w:after="0" w:line="300" w:lineRule="atLeast"/>
        <w:jc w:val="both"/>
        <w:rPr>
          <w:bCs/>
        </w:rPr>
      </w:pPr>
      <w:r>
        <w:rPr>
          <w:bCs/>
        </w:rPr>
        <w:t>Preventing impairment of pupil’s health or development</w:t>
      </w:r>
    </w:p>
    <w:p w:rsidR="00043726" w:rsidP="0001171D" w:rsidRDefault="00043726" w14:paraId="295DD2E9" w14:textId="3E4C08D6">
      <w:pPr>
        <w:pStyle w:val="ListParagraph"/>
        <w:numPr>
          <w:ilvl w:val="0"/>
          <w:numId w:val="5"/>
        </w:numPr>
        <w:spacing w:after="0" w:line="300" w:lineRule="atLeast"/>
        <w:jc w:val="both"/>
        <w:rPr>
          <w:bCs/>
        </w:rPr>
      </w:pPr>
      <w:r>
        <w:rPr>
          <w:bCs/>
        </w:rPr>
        <w:t>Ensuring that pupils grow up in circumstances consistent with the provision of safe and effective care</w:t>
      </w:r>
    </w:p>
    <w:p w:rsidR="00043726" w:rsidP="0001171D" w:rsidRDefault="00043726" w14:paraId="470718A1" w14:textId="05FBCD11">
      <w:pPr>
        <w:pStyle w:val="ListParagraph"/>
        <w:numPr>
          <w:ilvl w:val="0"/>
          <w:numId w:val="5"/>
        </w:numPr>
        <w:spacing w:after="0" w:line="300" w:lineRule="atLeast"/>
        <w:jc w:val="both"/>
        <w:rPr>
          <w:bCs/>
        </w:rPr>
      </w:pPr>
      <w:r>
        <w:rPr>
          <w:bCs/>
        </w:rPr>
        <w:t xml:space="preserve">Taking action to enable all pupils to have the best outcomes </w:t>
      </w:r>
    </w:p>
    <w:p w:rsidR="00043726" w:rsidP="0001171D" w:rsidRDefault="00043726" w14:paraId="5165BF9E" w14:textId="27F6B80E">
      <w:pPr>
        <w:pStyle w:val="ListParagraph"/>
        <w:numPr>
          <w:ilvl w:val="0"/>
          <w:numId w:val="5"/>
        </w:numPr>
        <w:spacing w:after="0" w:line="300" w:lineRule="atLeast"/>
        <w:jc w:val="both"/>
        <w:rPr>
          <w:bCs/>
        </w:rPr>
      </w:pPr>
      <w:r>
        <w:rPr>
          <w:bCs/>
        </w:rPr>
        <w:t>Educating pupils to make positive choices</w:t>
      </w:r>
    </w:p>
    <w:p w:rsidR="00043726" w:rsidP="0001171D" w:rsidRDefault="00043726" w14:paraId="538E6480" w14:textId="77777777">
      <w:pPr>
        <w:pStyle w:val="ListParagraph"/>
        <w:numPr>
          <w:ilvl w:val="0"/>
          <w:numId w:val="5"/>
        </w:numPr>
        <w:spacing w:after="0" w:line="300" w:lineRule="atLeast"/>
        <w:jc w:val="both"/>
        <w:rPr>
          <w:bCs/>
        </w:rPr>
      </w:pPr>
      <w:r>
        <w:rPr>
          <w:bCs/>
        </w:rPr>
        <w:t xml:space="preserve">To ensure any pupil seeking help with feel safe and supported </w:t>
      </w:r>
    </w:p>
    <w:p w:rsidR="00043726" w:rsidP="0001171D" w:rsidRDefault="00043726" w14:paraId="4DDBEF00" w14:textId="77777777">
      <w:pPr>
        <w:spacing w:after="0" w:line="300" w:lineRule="atLeast"/>
        <w:jc w:val="both"/>
        <w:rPr>
          <w:bCs/>
        </w:rPr>
      </w:pPr>
    </w:p>
    <w:p w:rsidR="00043726" w:rsidP="003E20A2" w:rsidRDefault="00043726" w14:paraId="43EF3F9B" w14:textId="60E6F1C9">
      <w:pPr>
        <w:spacing w:after="0" w:line="300" w:lineRule="atLeast"/>
        <w:jc w:val="both"/>
        <w:rPr>
          <w:bCs/>
        </w:rPr>
      </w:pPr>
      <w:r>
        <w:rPr>
          <w:bCs/>
        </w:rPr>
        <w:t xml:space="preserve">We recognise that because of the </w:t>
      </w:r>
      <w:r w:rsidR="00362E84">
        <w:rPr>
          <w:bCs/>
        </w:rPr>
        <w:t>day-to-day</w:t>
      </w:r>
      <w:r>
        <w:rPr>
          <w:bCs/>
        </w:rPr>
        <w:t xml:space="preserve"> contact with pupils, HPRS staff are well placed to observe the outward signs of exploitation. We, therefore, work hard to:</w:t>
      </w:r>
    </w:p>
    <w:p w:rsidR="00043726" w:rsidP="003E20A2" w:rsidRDefault="00043726" w14:paraId="29805403" w14:textId="5B7F8DED">
      <w:pPr>
        <w:pStyle w:val="ListParagraph"/>
        <w:numPr>
          <w:ilvl w:val="0"/>
          <w:numId w:val="6"/>
        </w:numPr>
        <w:spacing w:after="0" w:line="300" w:lineRule="atLeast"/>
        <w:jc w:val="both"/>
        <w:rPr>
          <w:bCs/>
        </w:rPr>
      </w:pPr>
      <w:r>
        <w:rPr>
          <w:bCs/>
        </w:rPr>
        <w:t>Establish and maintain an environment in which pupils and parents feel secure, are encouraged to talk, and are listened to</w:t>
      </w:r>
    </w:p>
    <w:p w:rsidR="00043726" w:rsidP="003E20A2" w:rsidRDefault="00043726" w14:paraId="4EC766C9" w14:textId="77777777">
      <w:pPr>
        <w:pStyle w:val="ListParagraph"/>
        <w:numPr>
          <w:ilvl w:val="0"/>
          <w:numId w:val="6"/>
        </w:numPr>
        <w:spacing w:after="0" w:line="300" w:lineRule="atLeast"/>
        <w:jc w:val="both"/>
        <w:rPr>
          <w:bCs/>
        </w:rPr>
      </w:pPr>
      <w:r>
        <w:rPr>
          <w:bCs/>
        </w:rPr>
        <w:t>Ensure that pupils know there are adults whom they can approach if they are worried.</w:t>
      </w:r>
    </w:p>
    <w:p w:rsidR="00043726" w:rsidP="003E20A2" w:rsidRDefault="00043726" w14:paraId="4B89AEB2" w14:textId="77777777">
      <w:pPr>
        <w:pStyle w:val="ListParagraph"/>
        <w:numPr>
          <w:ilvl w:val="0"/>
          <w:numId w:val="6"/>
        </w:numPr>
        <w:spacing w:after="0" w:line="300" w:lineRule="atLeast"/>
        <w:jc w:val="both"/>
        <w:rPr>
          <w:bCs/>
        </w:rPr>
      </w:pPr>
      <w:r>
        <w:rPr>
          <w:bCs/>
        </w:rPr>
        <w:t>Include opportunities in the curriculum for pupils to develop the skills they need to recognise and stay safe from abuse, bullying, discrimination or exploitation.</w:t>
      </w:r>
    </w:p>
    <w:p w:rsidR="00043726" w:rsidP="003E20A2" w:rsidRDefault="00043726" w14:paraId="4A0356E9" w14:textId="77777777">
      <w:pPr>
        <w:pStyle w:val="ListParagraph"/>
        <w:numPr>
          <w:ilvl w:val="0"/>
          <w:numId w:val="6"/>
        </w:numPr>
        <w:spacing w:after="0" w:line="300" w:lineRule="atLeast"/>
        <w:jc w:val="both"/>
        <w:rPr>
          <w:bCs/>
        </w:rPr>
      </w:pPr>
      <w:r>
        <w:rPr>
          <w:bCs/>
        </w:rPr>
        <w:t>Ensure that all staff are aware of the need to maintain appropriate and professional boundaries in their relationships with pupils and parents.</w:t>
      </w:r>
    </w:p>
    <w:p w:rsidR="00043726" w:rsidP="003E20A2" w:rsidRDefault="00043726" w14:paraId="3461D779" w14:textId="77777777">
      <w:pPr>
        <w:spacing w:after="0" w:line="300" w:lineRule="atLeast"/>
        <w:jc w:val="both"/>
        <w:rPr>
          <w:bCs/>
        </w:rPr>
      </w:pPr>
    </w:p>
    <w:p w:rsidR="00043726" w:rsidP="003E20A2" w:rsidRDefault="00043726" w14:paraId="6BD9232C" w14:textId="77777777">
      <w:pPr>
        <w:spacing w:after="0" w:line="300" w:lineRule="atLeast"/>
        <w:jc w:val="both"/>
        <w:rPr>
          <w:bCs/>
        </w:rPr>
      </w:pPr>
      <w:r>
        <w:rPr>
          <w:bCs/>
        </w:rPr>
        <w:t>Within the HPRS there are designated members of staff with responsibility for child protection and safeguarding as follows:</w:t>
      </w:r>
    </w:p>
    <w:p w:rsidR="00043726" w:rsidP="003E20A2" w:rsidRDefault="00043726" w14:paraId="3CF2D8B6" w14:textId="77777777">
      <w:pPr>
        <w:spacing w:after="0" w:line="240" w:lineRule="auto"/>
        <w:jc w:val="both"/>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40"/>
        <w:gridCol w:w="6620"/>
      </w:tblGrid>
      <w:tr w:rsidR="00043726" w:rsidTr="5F656A58" w14:paraId="7F5A47DB" w14:textId="77777777">
        <w:tc>
          <w:tcPr>
            <w:tcW w:w="2740" w:type="dxa"/>
          </w:tcPr>
          <w:p w:rsidR="00043726" w:rsidP="003E20A2" w:rsidRDefault="00043726" w14:paraId="496D1E29" w14:textId="77777777">
            <w:pPr>
              <w:jc w:val="both"/>
              <w:rPr>
                <w:b/>
                <w:bCs/>
              </w:rPr>
            </w:pPr>
            <w:r>
              <w:rPr>
                <w:b/>
                <w:bCs/>
              </w:rPr>
              <w:t>DSL</w:t>
            </w:r>
          </w:p>
        </w:tc>
        <w:tc>
          <w:tcPr>
            <w:tcW w:w="6620" w:type="dxa"/>
          </w:tcPr>
          <w:p w:rsidR="00043726" w:rsidP="003E20A2" w:rsidRDefault="0001171D" w14:paraId="0EEF8FA8" w14:textId="5A67A24A">
            <w:pPr>
              <w:jc w:val="both"/>
              <w:rPr>
                <w:bCs/>
              </w:rPr>
            </w:pPr>
            <w:r>
              <w:rPr>
                <w:bCs/>
              </w:rPr>
              <w:t>Beverley Blower</w:t>
            </w:r>
            <w:r w:rsidR="006C53E2">
              <w:rPr>
                <w:bCs/>
              </w:rPr>
              <w:t xml:space="preserve">                           </w:t>
            </w:r>
            <w:r w:rsidR="00130B9B">
              <w:rPr>
                <w:bCs/>
              </w:rPr>
              <w:tab/>
            </w:r>
            <w:r w:rsidR="006C53E2">
              <w:rPr>
                <w:bCs/>
              </w:rPr>
              <w:t>(HPRS &amp; St. David’s)</w:t>
            </w:r>
          </w:p>
          <w:p w:rsidR="00043726" w:rsidP="003E20A2" w:rsidRDefault="00043726" w14:paraId="041C8059" w14:textId="54C9E76B">
            <w:pPr>
              <w:jc w:val="both"/>
              <w:rPr>
                <w:bCs/>
              </w:rPr>
            </w:pPr>
            <w:r>
              <w:rPr>
                <w:bCs/>
              </w:rPr>
              <w:t>Nick James-Williams</w:t>
            </w:r>
            <w:r w:rsidR="006C53E2">
              <w:rPr>
                <w:bCs/>
              </w:rPr>
              <w:t xml:space="preserve">                    </w:t>
            </w:r>
            <w:r w:rsidR="00130B9B">
              <w:rPr>
                <w:bCs/>
              </w:rPr>
              <w:tab/>
            </w:r>
            <w:r w:rsidR="006C53E2">
              <w:rPr>
                <w:bCs/>
              </w:rPr>
              <w:t>(</w:t>
            </w:r>
            <w:r w:rsidR="007873D7">
              <w:rPr>
                <w:bCs/>
              </w:rPr>
              <w:t>The Harvest Project</w:t>
            </w:r>
            <w:r w:rsidR="006C53E2">
              <w:rPr>
                <w:bCs/>
              </w:rPr>
              <w:t>)</w:t>
            </w:r>
          </w:p>
          <w:p w:rsidR="008F7CD9" w:rsidP="003E20A2" w:rsidRDefault="0001171D" w14:paraId="367E2F3D" w14:textId="60BFDB58">
            <w:pPr>
              <w:jc w:val="both"/>
              <w:rPr>
                <w:bCs/>
              </w:rPr>
            </w:pPr>
            <w:r>
              <w:rPr>
                <w:bCs/>
              </w:rPr>
              <w:t xml:space="preserve">Jonathan Sheers                           </w:t>
            </w:r>
            <w:r w:rsidR="00130B9B">
              <w:rPr>
                <w:bCs/>
              </w:rPr>
              <w:tab/>
            </w:r>
            <w:r>
              <w:rPr>
                <w:bCs/>
              </w:rPr>
              <w:t>(H3)</w:t>
            </w:r>
          </w:p>
          <w:p w:rsidR="0001171D" w:rsidP="003E20A2" w:rsidRDefault="0001171D" w14:paraId="2CEA6B0F" w14:textId="3B4EB941">
            <w:pPr>
              <w:jc w:val="both"/>
              <w:rPr>
                <w:bCs/>
              </w:rPr>
            </w:pPr>
            <w:r>
              <w:rPr>
                <w:bCs/>
              </w:rPr>
              <w:t xml:space="preserve">Jenny Rooney                                </w:t>
            </w:r>
            <w:r w:rsidR="00130B9B">
              <w:rPr>
                <w:bCs/>
              </w:rPr>
              <w:tab/>
            </w:r>
            <w:r>
              <w:rPr>
                <w:bCs/>
              </w:rPr>
              <w:t>(H3)</w:t>
            </w:r>
          </w:p>
          <w:p w:rsidR="00AD21C7" w:rsidP="003E20A2" w:rsidRDefault="00AD21C7" w14:paraId="241C9FBF" w14:textId="3886DAB3">
            <w:pPr>
              <w:jc w:val="both"/>
              <w:rPr>
                <w:bCs/>
              </w:rPr>
            </w:pPr>
            <w:r>
              <w:rPr>
                <w:bCs/>
              </w:rPr>
              <w:t>Sarah Mobbs</w:t>
            </w:r>
            <w:r>
              <w:rPr>
                <w:bCs/>
              </w:rPr>
              <w:tab/>
            </w:r>
            <w:r>
              <w:rPr>
                <w:bCs/>
              </w:rPr>
              <w:tab/>
            </w:r>
            <w:r>
              <w:rPr>
                <w:bCs/>
              </w:rPr>
              <w:tab/>
            </w:r>
            <w:r>
              <w:rPr>
                <w:bCs/>
              </w:rPr>
              <w:t>(Aconbury)</w:t>
            </w:r>
          </w:p>
          <w:p w:rsidR="00043726" w:rsidP="003E20A2" w:rsidRDefault="00043726" w14:paraId="0FB78278" w14:textId="77777777">
            <w:pPr>
              <w:jc w:val="both"/>
              <w:rPr>
                <w:bCs/>
              </w:rPr>
            </w:pPr>
          </w:p>
        </w:tc>
      </w:tr>
      <w:tr w:rsidR="00043726" w:rsidTr="5F656A58" w14:paraId="17F73965" w14:textId="77777777">
        <w:tc>
          <w:tcPr>
            <w:tcW w:w="2740" w:type="dxa"/>
          </w:tcPr>
          <w:p w:rsidR="00043726" w:rsidP="003E20A2" w:rsidRDefault="00043726" w14:paraId="2F8D9E7B" w14:textId="77777777">
            <w:pPr>
              <w:jc w:val="both"/>
              <w:rPr>
                <w:b/>
                <w:bCs/>
              </w:rPr>
            </w:pPr>
            <w:r>
              <w:rPr>
                <w:b/>
                <w:bCs/>
              </w:rPr>
              <w:t>DDSL</w:t>
            </w:r>
          </w:p>
        </w:tc>
        <w:tc>
          <w:tcPr>
            <w:tcW w:w="6620" w:type="dxa"/>
          </w:tcPr>
          <w:p w:rsidR="00362E84" w:rsidP="003E20A2" w:rsidRDefault="00362E84" w14:paraId="5C7FDFE4" w14:textId="4832278B">
            <w:pPr>
              <w:jc w:val="both"/>
              <w:rPr>
                <w:bCs/>
              </w:rPr>
            </w:pPr>
            <w:r>
              <w:rPr>
                <w:bCs/>
              </w:rPr>
              <w:t>Stacey Musto</w:t>
            </w:r>
            <w:r w:rsidR="0001171D">
              <w:rPr>
                <w:bCs/>
              </w:rPr>
              <w:t xml:space="preserve">                                 (St. David’s)</w:t>
            </w:r>
          </w:p>
          <w:p w:rsidR="00DE3480" w:rsidP="003E20A2" w:rsidRDefault="00DE3480" w14:paraId="264EEDFA" w14:textId="12DB8783">
            <w:pPr>
              <w:jc w:val="both"/>
              <w:rPr>
                <w:bCs/>
              </w:rPr>
            </w:pPr>
            <w:r>
              <w:rPr>
                <w:bCs/>
              </w:rPr>
              <w:t>Richard Tyler</w:t>
            </w:r>
            <w:r>
              <w:rPr>
                <w:bCs/>
              </w:rPr>
              <w:tab/>
            </w:r>
            <w:r>
              <w:rPr>
                <w:bCs/>
              </w:rPr>
              <w:tab/>
            </w:r>
            <w:r>
              <w:rPr>
                <w:bCs/>
              </w:rPr>
              <w:tab/>
            </w:r>
            <w:r>
              <w:rPr>
                <w:bCs/>
              </w:rPr>
              <w:t>(St. David’s)</w:t>
            </w:r>
          </w:p>
          <w:p w:rsidR="0001171D" w:rsidP="003E20A2" w:rsidRDefault="0001171D" w14:paraId="026AF544" w14:textId="02AF7DBE">
            <w:pPr>
              <w:jc w:val="both"/>
              <w:rPr>
                <w:bCs/>
              </w:rPr>
            </w:pPr>
            <w:r>
              <w:rPr>
                <w:bCs/>
              </w:rPr>
              <w:t>Kate Robertston</w:t>
            </w:r>
            <w:r>
              <w:rPr>
                <w:bCs/>
              </w:rPr>
              <w:tab/>
            </w:r>
            <w:r>
              <w:rPr>
                <w:bCs/>
              </w:rPr>
              <w:tab/>
            </w:r>
            <w:r>
              <w:rPr>
                <w:bCs/>
              </w:rPr>
              <w:t>(H3)</w:t>
            </w:r>
          </w:p>
          <w:p w:rsidR="00AD21C7" w:rsidP="003E20A2" w:rsidRDefault="00AD21C7" w14:paraId="724C03D2" w14:textId="6DEC5626">
            <w:pPr>
              <w:jc w:val="both"/>
              <w:rPr>
                <w:bCs/>
              </w:rPr>
            </w:pPr>
            <w:r>
              <w:rPr>
                <w:bCs/>
              </w:rPr>
              <w:t>Shelley Davies</w:t>
            </w:r>
            <w:r>
              <w:rPr>
                <w:bCs/>
              </w:rPr>
              <w:tab/>
            </w:r>
            <w:r>
              <w:rPr>
                <w:bCs/>
              </w:rPr>
              <w:tab/>
            </w:r>
            <w:r>
              <w:rPr>
                <w:bCs/>
              </w:rPr>
              <w:tab/>
            </w:r>
            <w:r>
              <w:rPr>
                <w:bCs/>
              </w:rPr>
              <w:t>(Aconbury)</w:t>
            </w:r>
          </w:p>
          <w:p w:rsidR="008F7CD9" w:rsidP="003E20A2" w:rsidRDefault="008F7CD9" w14:paraId="1FC39945" w14:textId="646858EA">
            <w:pPr>
              <w:jc w:val="both"/>
              <w:rPr>
                <w:bCs/>
              </w:rPr>
            </w:pPr>
          </w:p>
        </w:tc>
      </w:tr>
      <w:tr w:rsidR="00043726" w:rsidTr="5F656A58" w14:paraId="4540F1B2" w14:textId="77777777">
        <w:tc>
          <w:tcPr>
            <w:tcW w:w="2740" w:type="dxa"/>
          </w:tcPr>
          <w:p w:rsidR="00043726" w:rsidP="003E20A2" w:rsidRDefault="00043726" w14:paraId="228A2E84" w14:textId="77777777">
            <w:pPr>
              <w:jc w:val="both"/>
              <w:rPr>
                <w:b/>
                <w:bCs/>
              </w:rPr>
            </w:pPr>
            <w:r>
              <w:rPr>
                <w:b/>
                <w:bCs/>
              </w:rPr>
              <w:t>Management Committee</w:t>
            </w:r>
          </w:p>
        </w:tc>
        <w:tc>
          <w:tcPr>
            <w:tcW w:w="6620" w:type="dxa"/>
          </w:tcPr>
          <w:p w:rsidR="00043726" w:rsidP="003E20A2" w:rsidRDefault="0001171D" w14:paraId="286BCBA6" w14:textId="342243AF">
            <w:pPr>
              <w:jc w:val="both"/>
              <w:rPr>
                <w:bCs/>
              </w:rPr>
            </w:pPr>
            <w:r>
              <w:rPr>
                <w:bCs/>
              </w:rPr>
              <w:t>Jan Baker</w:t>
            </w:r>
          </w:p>
          <w:p w:rsidR="00043726" w:rsidP="003E20A2" w:rsidRDefault="00043726" w14:paraId="0562CB0E" w14:textId="77777777">
            <w:pPr>
              <w:jc w:val="both"/>
              <w:rPr>
                <w:bCs/>
              </w:rPr>
            </w:pPr>
          </w:p>
        </w:tc>
      </w:tr>
      <w:tr w:rsidR="00043726" w:rsidTr="5F656A58" w14:paraId="441348E8" w14:textId="77777777">
        <w:tc>
          <w:tcPr>
            <w:tcW w:w="2740" w:type="dxa"/>
          </w:tcPr>
          <w:p w:rsidR="00043726" w:rsidP="003E20A2" w:rsidRDefault="006C53E2" w14:paraId="5271E9FF" w14:textId="4497AB31">
            <w:pPr>
              <w:jc w:val="both"/>
              <w:rPr>
                <w:b/>
                <w:bCs/>
              </w:rPr>
            </w:pPr>
            <w:r>
              <w:rPr>
                <w:b/>
                <w:bCs/>
              </w:rPr>
              <w:t>CLA / P</w:t>
            </w:r>
            <w:r w:rsidR="00043726">
              <w:rPr>
                <w:b/>
                <w:bCs/>
              </w:rPr>
              <w:t xml:space="preserve">reviously </w:t>
            </w:r>
            <w:r>
              <w:rPr>
                <w:b/>
                <w:bCs/>
              </w:rPr>
              <w:t>CLA</w:t>
            </w:r>
            <w:r w:rsidR="00043726">
              <w:rPr>
                <w:b/>
                <w:bCs/>
              </w:rPr>
              <w:t xml:space="preserve"> Lead</w:t>
            </w:r>
          </w:p>
        </w:tc>
        <w:tc>
          <w:tcPr>
            <w:tcW w:w="6620" w:type="dxa"/>
          </w:tcPr>
          <w:p w:rsidR="00043726" w:rsidP="003E20A2" w:rsidRDefault="00111973" w14:paraId="4ACA24C3" w14:textId="5CBA1F89">
            <w:pPr>
              <w:jc w:val="both"/>
              <w:rPr>
                <w:bCs/>
              </w:rPr>
            </w:pPr>
            <w:r>
              <w:rPr>
                <w:bCs/>
              </w:rPr>
              <w:t>April Howard (SENDCo)</w:t>
            </w:r>
          </w:p>
          <w:p w:rsidR="00043726" w:rsidP="003E20A2" w:rsidRDefault="00043726" w14:paraId="34CE0A41" w14:textId="77777777">
            <w:pPr>
              <w:jc w:val="both"/>
              <w:rPr>
                <w:bCs/>
              </w:rPr>
            </w:pPr>
          </w:p>
        </w:tc>
      </w:tr>
      <w:tr w:rsidR="00043726" w:rsidTr="5F656A58" w14:paraId="4121A964" w14:textId="77777777">
        <w:tc>
          <w:tcPr>
            <w:tcW w:w="2740" w:type="dxa"/>
          </w:tcPr>
          <w:p w:rsidR="00043726" w:rsidP="003E20A2" w:rsidRDefault="00043726" w14:paraId="34BA36A2" w14:textId="77777777">
            <w:pPr>
              <w:jc w:val="both"/>
              <w:rPr>
                <w:b/>
                <w:bCs/>
              </w:rPr>
            </w:pPr>
            <w:r>
              <w:rPr>
                <w:b/>
                <w:bCs/>
              </w:rPr>
              <w:t>Prevent Lead</w:t>
            </w:r>
          </w:p>
        </w:tc>
        <w:tc>
          <w:tcPr>
            <w:tcW w:w="6620" w:type="dxa"/>
          </w:tcPr>
          <w:p w:rsidR="00043726" w:rsidP="003E20A2" w:rsidRDefault="0001171D" w14:paraId="176923F6" w14:textId="61B2D841">
            <w:pPr>
              <w:jc w:val="both"/>
              <w:rPr>
                <w:bCs/>
              </w:rPr>
            </w:pPr>
            <w:r>
              <w:rPr>
                <w:bCs/>
              </w:rPr>
              <w:t>Beverley Blower</w:t>
            </w:r>
          </w:p>
        </w:tc>
      </w:tr>
    </w:tbl>
    <w:p w:rsidR="00043726" w:rsidP="003E20A2" w:rsidRDefault="00043726" w14:paraId="62EBF3C5" w14:textId="77777777">
      <w:pPr>
        <w:spacing w:after="0" w:line="240" w:lineRule="auto"/>
        <w:jc w:val="both"/>
        <w:rPr>
          <w:bCs/>
        </w:rPr>
      </w:pPr>
    </w:p>
    <w:p w:rsidR="00043726" w:rsidP="003E20A2" w:rsidRDefault="00043726" w14:paraId="6D98A12B" w14:textId="77777777">
      <w:pPr>
        <w:spacing w:after="0" w:line="240" w:lineRule="auto"/>
        <w:jc w:val="both"/>
        <w:rPr>
          <w:bCs/>
        </w:rPr>
      </w:pPr>
    </w:p>
    <w:p w:rsidR="00043726" w:rsidP="003E20A2" w:rsidRDefault="00043726" w14:paraId="53A9EF55" w14:textId="77777777">
      <w:pPr>
        <w:spacing w:after="0" w:line="240" w:lineRule="auto"/>
        <w:jc w:val="both"/>
        <w:rPr>
          <w:b/>
          <w:bCs/>
          <w:color w:val="1F497D" w:themeColor="text2"/>
          <w:sz w:val="28"/>
          <w:szCs w:val="28"/>
        </w:rPr>
      </w:pPr>
      <w:r>
        <w:rPr>
          <w:bCs/>
        </w:rPr>
        <w:t>The responsibilities of the DSL, DDSL and The Management Committee are set out in the CE, Child Protection and Safeguarding procedures, below.</w:t>
      </w:r>
      <w:r>
        <w:rPr>
          <w:b/>
          <w:bCs/>
          <w:color w:val="1F497D" w:themeColor="text2"/>
          <w:sz w:val="28"/>
          <w:szCs w:val="28"/>
        </w:rPr>
        <w:t xml:space="preserve"> </w:t>
      </w:r>
    </w:p>
    <w:p w:rsidR="00043726" w:rsidP="00043726" w:rsidRDefault="00043726" w14:paraId="2946DB82" w14:textId="77777777">
      <w:pPr>
        <w:spacing w:after="0" w:line="240" w:lineRule="auto"/>
        <w:jc w:val="both"/>
        <w:rPr>
          <w:b/>
          <w:u w:val="single"/>
        </w:rPr>
      </w:pPr>
    </w:p>
    <w:p w:rsidR="00043726" w:rsidP="00043726" w:rsidRDefault="00043726" w14:paraId="5997CC1D" w14:textId="77777777">
      <w:pPr>
        <w:spacing w:after="0" w:line="240" w:lineRule="auto"/>
        <w:jc w:val="both"/>
      </w:pPr>
    </w:p>
    <w:p w:rsidR="00043726" w:rsidP="00043726" w:rsidRDefault="00043726" w14:paraId="110FFD37" w14:textId="77777777">
      <w:pPr>
        <w:rPr>
          <w:rFonts w:ascii="Calibri" w:hAnsi="Calibri" w:eastAsia="Calibri" w:cs="Calibri"/>
          <w:b/>
          <w:bCs/>
          <w:sz w:val="24"/>
          <w:szCs w:val="24"/>
        </w:rPr>
      </w:pPr>
      <w:r>
        <w:rPr>
          <w:rFonts w:ascii="Calibri" w:hAnsi="Calibri" w:eastAsia="Calibri" w:cs="Calibri"/>
          <w:b/>
          <w:bCs/>
          <w:sz w:val="24"/>
          <w:szCs w:val="24"/>
        </w:rPr>
        <w:br w:type="page"/>
      </w:r>
    </w:p>
    <w:p w:rsidR="00043726" w:rsidP="00043726" w:rsidRDefault="00043726" w14:paraId="6B699379" w14:textId="77777777">
      <w:pPr>
        <w:spacing w:after="0"/>
        <w:rPr>
          <w:rFonts w:ascii="Calibri" w:hAnsi="Calibri" w:eastAsia="Calibri" w:cs="Calibri"/>
          <w:b/>
          <w:bCs/>
          <w:sz w:val="24"/>
          <w:szCs w:val="24"/>
        </w:rPr>
      </w:pPr>
    </w:p>
    <w:p w:rsidR="00043726" w:rsidP="00043726" w:rsidRDefault="00043726" w14:paraId="3EEB7755" w14:textId="77777777">
      <w:pPr>
        <w:shd w:val="clear" w:color="auto" w:fill="1F497D" w:themeFill="text2"/>
        <w:spacing w:after="0" w:line="240" w:lineRule="auto"/>
        <w:jc w:val="center"/>
        <w:rPr>
          <w:color w:val="FFFFFF" w:themeColor="background1"/>
          <w:sz w:val="36"/>
          <w:szCs w:val="36"/>
        </w:rPr>
      </w:pPr>
      <w:r>
        <w:rPr>
          <w:color w:val="FFFFFF" w:themeColor="background1"/>
          <w:sz w:val="36"/>
          <w:szCs w:val="36"/>
        </w:rPr>
        <w:t>CRIMINAL EXPLOITATION AND COUNTY LINES PROCEDURES</w:t>
      </w:r>
    </w:p>
    <w:p w:rsidR="00043726" w:rsidP="00043726" w:rsidRDefault="00043726" w14:paraId="3FE9F23F" w14:textId="77777777">
      <w:pPr>
        <w:spacing w:after="0" w:line="240" w:lineRule="auto"/>
        <w:jc w:val="both"/>
        <w:rPr>
          <w:b/>
          <w:color w:val="1F497D" w:themeColor="text2"/>
          <w:sz w:val="24"/>
        </w:rPr>
      </w:pPr>
    </w:p>
    <w:p w:rsidR="00043726" w:rsidP="00396F60" w:rsidRDefault="00043726" w14:paraId="14B8767E" w14:textId="77777777">
      <w:pPr>
        <w:spacing w:after="0" w:line="240" w:lineRule="auto"/>
        <w:jc w:val="both"/>
      </w:pPr>
      <w:r>
        <w:t>All staff should report any CE or county lines concerns to the DSL as soon as possible AND log their concern on MyConcern so there is a record in writing with a date stamp.  If the DSL and DDSL are not available, the MyConcern entry should be made immediately so that they receive a digital notification.</w:t>
      </w:r>
    </w:p>
    <w:p w:rsidR="00043726" w:rsidP="00396F60" w:rsidRDefault="00043726" w14:paraId="1F72F646" w14:textId="77777777">
      <w:pPr>
        <w:spacing w:after="0" w:line="240" w:lineRule="auto"/>
        <w:jc w:val="both"/>
      </w:pPr>
    </w:p>
    <w:p w:rsidR="00043726" w:rsidP="00396F60" w:rsidRDefault="00043726" w14:paraId="25A5F81E" w14:textId="77777777">
      <w:pPr>
        <w:spacing w:after="0" w:line="240" w:lineRule="auto"/>
        <w:jc w:val="both"/>
      </w:pPr>
      <w:r>
        <w:t xml:space="preserve">Any verbal conversations should be recorded in writing immediately.  </w:t>
      </w:r>
    </w:p>
    <w:p w:rsidR="00043726" w:rsidP="00396F60" w:rsidRDefault="00043726" w14:paraId="08CE6F91" w14:textId="77777777">
      <w:pPr>
        <w:spacing w:after="0" w:line="240" w:lineRule="auto"/>
        <w:jc w:val="both"/>
      </w:pPr>
    </w:p>
    <w:p w:rsidR="00043726" w:rsidP="00396F60" w:rsidRDefault="00043726" w14:paraId="583C81D6" w14:textId="77777777">
      <w:pPr>
        <w:pStyle w:val="ListParagraph"/>
        <w:numPr>
          <w:ilvl w:val="0"/>
          <w:numId w:val="10"/>
        </w:numPr>
        <w:spacing w:after="0" w:line="240" w:lineRule="auto"/>
        <w:jc w:val="both"/>
      </w:pPr>
      <w:r>
        <w:t>Concerns about any staff member should be reported to the Headteacher.</w:t>
      </w:r>
    </w:p>
    <w:p w:rsidR="00043726" w:rsidP="00396F60" w:rsidRDefault="00043726" w14:paraId="2FC6A158" w14:textId="77777777">
      <w:pPr>
        <w:pStyle w:val="ListParagraph"/>
        <w:numPr>
          <w:ilvl w:val="0"/>
          <w:numId w:val="10"/>
        </w:numPr>
        <w:spacing w:after="0" w:line="240" w:lineRule="auto"/>
        <w:jc w:val="both"/>
      </w:pPr>
      <w:r>
        <w:t>Concerns about the Headteacher should be reported to the Chair of Governors.</w:t>
      </w:r>
    </w:p>
    <w:p w:rsidR="00043726" w:rsidP="00396F60" w:rsidRDefault="00043726" w14:paraId="21C099DF" w14:textId="77777777">
      <w:pPr>
        <w:pStyle w:val="ListParagraph"/>
        <w:numPr>
          <w:ilvl w:val="0"/>
          <w:numId w:val="10"/>
        </w:numPr>
        <w:spacing w:after="0" w:line="240" w:lineRule="auto"/>
        <w:jc w:val="both"/>
      </w:pPr>
      <w:r>
        <w:t>Concerns will be sent to the Local Authority Designated Officer (LADO)</w:t>
      </w:r>
    </w:p>
    <w:p w:rsidR="00043726" w:rsidP="00396F60" w:rsidRDefault="00043726" w14:paraId="61CDCEAD" w14:textId="77777777">
      <w:pPr>
        <w:spacing w:after="0" w:line="240" w:lineRule="auto"/>
        <w:jc w:val="both"/>
      </w:pPr>
    </w:p>
    <w:p w:rsidR="00043726" w:rsidP="00396F60" w:rsidRDefault="00043726" w14:paraId="7217B966" w14:textId="77777777">
      <w:pPr>
        <w:spacing w:after="0" w:line="240" w:lineRule="auto"/>
        <w:jc w:val="both"/>
        <w:rPr>
          <w:b/>
          <w:bCs/>
          <w:color w:val="1F497D" w:themeColor="text2"/>
          <w:sz w:val="28"/>
          <w:szCs w:val="28"/>
        </w:rPr>
      </w:pPr>
      <w:r>
        <w:rPr>
          <w:b/>
          <w:bCs/>
          <w:color w:val="1F497D" w:themeColor="text2"/>
          <w:sz w:val="28"/>
          <w:szCs w:val="28"/>
        </w:rPr>
        <w:t xml:space="preserve">Responsibilities of the Designated Safeguarding Lead (DSL): </w:t>
      </w:r>
    </w:p>
    <w:p w:rsidR="00043726" w:rsidP="00396F60" w:rsidRDefault="00043726" w14:paraId="6BB9E253" w14:textId="77777777">
      <w:pPr>
        <w:spacing w:after="0" w:line="240" w:lineRule="auto"/>
        <w:jc w:val="both"/>
      </w:pPr>
    </w:p>
    <w:p w:rsidR="00043726" w:rsidP="00396F60" w:rsidRDefault="00043726" w14:paraId="1B5BB219" w14:textId="4F7FEE53">
      <w:pPr>
        <w:numPr>
          <w:ilvl w:val="0"/>
          <w:numId w:val="2"/>
        </w:numPr>
        <w:spacing w:after="0" w:line="300" w:lineRule="atLeast"/>
        <w:ind w:left="714" w:hanging="357"/>
        <w:jc w:val="both"/>
      </w:pPr>
      <w:r>
        <w:t>Refer cases of suspected exploitation, abuse or allegations to Social Care; police or other relevant agenc</w:t>
      </w:r>
      <w:r w:rsidR="00F504E9">
        <w:t>ies.</w:t>
      </w:r>
    </w:p>
    <w:p w:rsidR="00043726" w:rsidP="00396F60" w:rsidRDefault="00043726" w14:paraId="0579B1ED" w14:textId="77777777">
      <w:pPr>
        <w:numPr>
          <w:ilvl w:val="0"/>
          <w:numId w:val="2"/>
        </w:numPr>
        <w:spacing w:after="0" w:line="300" w:lineRule="atLeast"/>
        <w:ind w:left="714" w:hanging="357"/>
        <w:jc w:val="both"/>
      </w:pPr>
      <w:r>
        <w:t>Create a risk assessment for the pupil to support their safeguarding.</w:t>
      </w:r>
    </w:p>
    <w:p w:rsidR="00043726" w:rsidP="00396F60" w:rsidRDefault="00043726" w14:paraId="1814003A" w14:textId="0B77DC8C">
      <w:pPr>
        <w:numPr>
          <w:ilvl w:val="0"/>
          <w:numId w:val="2"/>
        </w:numPr>
        <w:spacing w:after="0" w:line="300" w:lineRule="atLeast"/>
        <w:ind w:left="714" w:hanging="357"/>
        <w:jc w:val="both"/>
      </w:pPr>
      <w:r>
        <w:t xml:space="preserve">Report all instances to the </w:t>
      </w:r>
      <w:r w:rsidR="005F3945">
        <w:t>Management Committee</w:t>
      </w:r>
      <w:r>
        <w:t>.</w:t>
      </w:r>
    </w:p>
    <w:p w:rsidR="00043726" w:rsidP="00396F60" w:rsidRDefault="00043726" w14:paraId="7B19124C" w14:textId="77777777">
      <w:pPr>
        <w:numPr>
          <w:ilvl w:val="0"/>
          <w:numId w:val="2"/>
        </w:numPr>
        <w:spacing w:after="0" w:line="300" w:lineRule="atLeast"/>
        <w:ind w:left="714" w:hanging="357"/>
        <w:jc w:val="both"/>
      </w:pPr>
      <w:r>
        <w:t>Keep a record that is shared with the Local Authority.</w:t>
      </w:r>
    </w:p>
    <w:p w:rsidR="00043726" w:rsidP="00396F60" w:rsidRDefault="00043726" w14:paraId="4A2D5B32" w14:textId="37F3F608">
      <w:pPr>
        <w:numPr>
          <w:ilvl w:val="0"/>
          <w:numId w:val="2"/>
        </w:numPr>
        <w:spacing w:after="0" w:line="300" w:lineRule="atLeast"/>
        <w:ind w:left="714" w:hanging="357"/>
        <w:jc w:val="both"/>
      </w:pPr>
      <w:r>
        <w:t>Monitor attendance and ensure a pupil</w:t>
      </w:r>
      <w:r w:rsidR="00396F60">
        <w:t>’</w:t>
      </w:r>
      <w:r>
        <w:t>s wellbeing is investigated if they are persistently absent.</w:t>
      </w:r>
    </w:p>
    <w:p w:rsidR="00043726" w:rsidP="00396F60" w:rsidRDefault="00043726" w14:paraId="2209649C" w14:textId="77777777">
      <w:pPr>
        <w:numPr>
          <w:ilvl w:val="0"/>
          <w:numId w:val="2"/>
        </w:numPr>
        <w:spacing w:after="0" w:line="300" w:lineRule="atLeast"/>
        <w:ind w:left="714" w:hanging="357"/>
        <w:jc w:val="both"/>
      </w:pPr>
      <w:r>
        <w:t>Acts as a source of support, advice and expertise for staff within the HPRS.</w:t>
      </w:r>
    </w:p>
    <w:p w:rsidR="00043726" w:rsidP="00396F60" w:rsidRDefault="00043726" w14:paraId="2D990CEE" w14:textId="77777777">
      <w:pPr>
        <w:numPr>
          <w:ilvl w:val="0"/>
          <w:numId w:val="2"/>
        </w:numPr>
        <w:spacing w:after="0" w:line="300" w:lineRule="atLeast"/>
        <w:ind w:left="714" w:hanging="357"/>
        <w:jc w:val="both"/>
      </w:pPr>
      <w:r>
        <w:t>Ensures all staff have access to and understand the HPRS CE and child protection and safeguarding policies.</w:t>
      </w:r>
    </w:p>
    <w:p w:rsidR="00043726" w:rsidP="00396F60" w:rsidRDefault="00043726" w14:paraId="12238EB1" w14:textId="77777777">
      <w:pPr>
        <w:pStyle w:val="ListParagraph"/>
        <w:numPr>
          <w:ilvl w:val="0"/>
          <w:numId w:val="2"/>
        </w:numPr>
        <w:spacing w:after="0" w:line="300" w:lineRule="atLeast"/>
        <w:ind w:left="714" w:hanging="357"/>
        <w:jc w:val="both"/>
      </w:pPr>
      <w:r>
        <w:t>Updates the HPRS CE and child protection and safeguarding policies annually.</w:t>
      </w:r>
    </w:p>
    <w:p w:rsidR="00043726" w:rsidP="00043726" w:rsidRDefault="00043726" w14:paraId="23DE523C" w14:textId="77777777">
      <w:pPr>
        <w:spacing w:after="0" w:line="240" w:lineRule="auto"/>
        <w:ind w:left="720"/>
        <w:jc w:val="both"/>
      </w:pPr>
    </w:p>
    <w:p w:rsidR="00043726" w:rsidP="00043726" w:rsidRDefault="00043726" w14:paraId="15A75756" w14:textId="77777777">
      <w:pPr>
        <w:spacing w:after="0" w:line="240" w:lineRule="auto"/>
        <w:jc w:val="both"/>
        <w:rPr>
          <w:b/>
          <w:bCs/>
          <w:color w:val="1F497D" w:themeColor="text2"/>
          <w:sz w:val="28"/>
          <w:szCs w:val="28"/>
        </w:rPr>
      </w:pPr>
      <w:r>
        <w:rPr>
          <w:b/>
          <w:bCs/>
          <w:color w:val="1F497D" w:themeColor="text2"/>
          <w:sz w:val="28"/>
          <w:szCs w:val="28"/>
        </w:rPr>
        <w:t>Responsibilities of the Deputy Designated Safeguarding Lead (DDSL):</w:t>
      </w:r>
    </w:p>
    <w:p w:rsidR="00043726" w:rsidP="00043726" w:rsidRDefault="00043726" w14:paraId="52E56223" w14:textId="77777777">
      <w:pPr>
        <w:spacing w:after="0" w:line="240" w:lineRule="auto"/>
        <w:jc w:val="both"/>
      </w:pPr>
    </w:p>
    <w:p w:rsidR="00043726" w:rsidP="003E20A2" w:rsidRDefault="00043726" w14:paraId="32DC185F" w14:textId="0CF86E20">
      <w:pPr>
        <w:pStyle w:val="ListParagraph"/>
        <w:numPr>
          <w:ilvl w:val="0"/>
          <w:numId w:val="4"/>
        </w:numPr>
        <w:spacing w:after="0" w:line="240" w:lineRule="auto"/>
        <w:jc w:val="both"/>
      </w:pPr>
      <w:r>
        <w:t xml:space="preserve">In the absence of the </w:t>
      </w:r>
      <w:r w:rsidR="00844D97">
        <w:t xml:space="preserve">DSL the </w:t>
      </w:r>
      <w:r>
        <w:t>DDS</w:t>
      </w:r>
      <w:r w:rsidR="004E6746">
        <w:t>L</w:t>
      </w:r>
      <w:r>
        <w:t xml:space="preserve"> carries out those functions necessary to ensure the ongoing safety and protection of children.  </w:t>
      </w:r>
    </w:p>
    <w:p w:rsidR="00043726" w:rsidP="003E20A2" w:rsidRDefault="00043726" w14:paraId="6D0A2DC0" w14:textId="77777777">
      <w:pPr>
        <w:pStyle w:val="ListParagraph"/>
        <w:numPr>
          <w:ilvl w:val="0"/>
          <w:numId w:val="4"/>
        </w:numPr>
        <w:spacing w:after="0" w:line="240" w:lineRule="auto"/>
        <w:jc w:val="both"/>
        <w:rPr>
          <w:b/>
          <w:color w:val="1F497D" w:themeColor="text2"/>
          <w:sz w:val="24"/>
        </w:rPr>
      </w:pPr>
      <w:r>
        <w:t>In the event of the long term absence of the DSL, the deputy will assume all of the functions above.</w:t>
      </w:r>
    </w:p>
    <w:p w:rsidR="00043726" w:rsidP="00043726" w:rsidRDefault="00043726" w14:paraId="07547A01" w14:textId="77777777">
      <w:pPr>
        <w:spacing w:after="0" w:line="240" w:lineRule="auto"/>
        <w:jc w:val="both"/>
        <w:rPr>
          <w:b/>
          <w:color w:val="1F497D" w:themeColor="text2"/>
          <w:sz w:val="24"/>
        </w:rPr>
      </w:pPr>
    </w:p>
    <w:p w:rsidR="00396F60" w:rsidP="00043726" w:rsidRDefault="00396F60" w14:paraId="1CE8C28A" w14:textId="71049D3F">
      <w:pPr>
        <w:rPr>
          <w:b/>
          <w:bCs/>
          <w:color w:val="1F497D" w:themeColor="text2"/>
          <w:sz w:val="28"/>
          <w:szCs w:val="28"/>
        </w:rPr>
      </w:pPr>
      <w:r>
        <w:rPr>
          <w:b/>
          <w:bCs/>
          <w:color w:val="1F497D" w:themeColor="text2"/>
          <w:sz w:val="28"/>
          <w:szCs w:val="28"/>
        </w:rPr>
        <w:t>SENDCo Responsibilities</w:t>
      </w:r>
    </w:p>
    <w:p w:rsidR="00396F60" w:rsidP="00396F60" w:rsidRDefault="00396F60" w14:paraId="6E875586" w14:textId="21D720D8">
      <w:pPr>
        <w:pStyle w:val="ListParagraph"/>
        <w:numPr>
          <w:ilvl w:val="0"/>
          <w:numId w:val="2"/>
        </w:numPr>
        <w:spacing w:after="0" w:line="300" w:lineRule="atLeast"/>
        <w:ind w:left="714" w:hanging="357"/>
        <w:jc w:val="both"/>
      </w:pPr>
      <w:r>
        <w:t>Is the designated person for Looked After Children and previously looked after children.  As part of this role they will attend training and will work closely with the Virtual Headteacher and the child’s Social worker to ensure the child is kept safe.</w:t>
      </w:r>
    </w:p>
    <w:p w:rsidR="00396F60" w:rsidP="00396F60" w:rsidRDefault="00396F60" w14:paraId="5513BC5C" w14:textId="77777777">
      <w:pPr>
        <w:pStyle w:val="ListParagraph"/>
        <w:spacing w:after="0" w:line="300" w:lineRule="atLeast"/>
        <w:ind w:left="714"/>
        <w:jc w:val="both"/>
      </w:pPr>
    </w:p>
    <w:p w:rsidR="00043726" w:rsidP="00043726" w:rsidRDefault="00043726" w14:paraId="15D4C26D" w14:textId="0BCEFA63">
      <w:pPr>
        <w:rPr>
          <w:b/>
          <w:bCs/>
          <w:color w:val="1F497D" w:themeColor="text2"/>
          <w:sz w:val="28"/>
          <w:szCs w:val="28"/>
        </w:rPr>
      </w:pPr>
      <w:r>
        <w:rPr>
          <w:b/>
          <w:bCs/>
          <w:color w:val="1F497D" w:themeColor="text2"/>
          <w:sz w:val="28"/>
          <w:szCs w:val="28"/>
        </w:rPr>
        <w:t>Management Committee responsibilities</w:t>
      </w:r>
    </w:p>
    <w:p w:rsidR="00043726" w:rsidP="003E20A2" w:rsidRDefault="00043726" w14:paraId="18DBEC19" w14:textId="77777777">
      <w:pPr>
        <w:spacing w:after="0" w:line="240" w:lineRule="auto"/>
        <w:jc w:val="both"/>
      </w:pPr>
      <w:r>
        <w:t>The HPRS Management Committee will ensure that:</w:t>
      </w:r>
    </w:p>
    <w:p w:rsidR="00043726" w:rsidP="003E20A2" w:rsidRDefault="00043726" w14:paraId="29D073B4" w14:textId="74AFC285">
      <w:pPr>
        <w:numPr>
          <w:ilvl w:val="0"/>
          <w:numId w:val="3"/>
        </w:numPr>
        <w:spacing w:after="0" w:line="240" w:lineRule="auto"/>
        <w:jc w:val="both"/>
      </w:pPr>
      <w:r>
        <w:t xml:space="preserve">There are regularly updated </w:t>
      </w:r>
      <w:r w:rsidR="009A4D14">
        <w:t xml:space="preserve">connected to </w:t>
      </w:r>
      <w:r>
        <w:t xml:space="preserve">CE and county lines policies and the appropriate procedures </w:t>
      </w:r>
      <w:r w:rsidR="009A4D14">
        <w:t xml:space="preserve">are in </w:t>
      </w:r>
      <w:r>
        <w:t>place.</w:t>
      </w:r>
    </w:p>
    <w:p w:rsidR="00043726" w:rsidP="003E20A2" w:rsidRDefault="00043726" w14:paraId="4C3187DE" w14:textId="1A332B66">
      <w:pPr>
        <w:numPr>
          <w:ilvl w:val="0"/>
          <w:numId w:val="3"/>
        </w:numPr>
        <w:spacing w:after="0" w:line="240" w:lineRule="auto"/>
        <w:jc w:val="both"/>
      </w:pPr>
      <w:r>
        <w:t>Safe</w:t>
      </w:r>
      <w:r w:rsidR="00396F60">
        <w:t>r</w:t>
      </w:r>
      <w:r>
        <w:t xml:space="preserve"> recruitment procedures are in place and that all appropriate checks are carried out including statutory checks on the suitability of staff to work with children and disqualification by associated regulation.</w:t>
      </w:r>
    </w:p>
    <w:p w:rsidR="00043726" w:rsidP="003E20A2" w:rsidRDefault="00043726" w14:paraId="50DE8DDF" w14:textId="77777777">
      <w:pPr>
        <w:numPr>
          <w:ilvl w:val="0"/>
          <w:numId w:val="3"/>
        </w:numPr>
        <w:spacing w:after="0" w:line="240" w:lineRule="auto"/>
        <w:jc w:val="both"/>
      </w:pPr>
      <w:r>
        <w:t>All staff undertake appropriate training.</w:t>
      </w:r>
    </w:p>
    <w:p w:rsidR="00043726" w:rsidP="003E20A2" w:rsidRDefault="00043726" w14:paraId="35CA0430" w14:textId="77777777">
      <w:pPr>
        <w:numPr>
          <w:ilvl w:val="0"/>
          <w:numId w:val="3"/>
        </w:numPr>
        <w:spacing w:after="0" w:line="240" w:lineRule="auto"/>
        <w:jc w:val="both"/>
      </w:pPr>
      <w:r>
        <w:t>There is a member of the Committee who will take lead responsibility for the organisation’s CE, child protection and safeguarding arrangements.</w:t>
      </w:r>
    </w:p>
    <w:p w:rsidR="00043726" w:rsidP="003E20A2" w:rsidRDefault="00043726" w14:paraId="580C994D" w14:textId="77777777">
      <w:pPr>
        <w:numPr>
          <w:ilvl w:val="0"/>
          <w:numId w:val="3"/>
        </w:numPr>
        <w:spacing w:after="0" w:line="240" w:lineRule="auto"/>
        <w:jc w:val="both"/>
      </w:pPr>
      <w:r>
        <w:t>There are procedures for dealing with allegations of abuse made against a member of staff or volunteer.</w:t>
      </w:r>
    </w:p>
    <w:p w:rsidR="00043726" w:rsidP="00043726" w:rsidRDefault="00043726" w14:paraId="5043CB0F" w14:textId="77777777">
      <w:pPr>
        <w:spacing w:after="0" w:line="240" w:lineRule="auto"/>
        <w:jc w:val="both"/>
        <w:rPr>
          <w:b/>
          <w:u w:val="single"/>
        </w:rPr>
      </w:pPr>
    </w:p>
    <w:p w:rsidR="00043726" w:rsidP="00043726" w:rsidRDefault="00043726" w14:paraId="07459315" w14:textId="77777777">
      <w:pPr>
        <w:spacing w:after="0" w:line="240" w:lineRule="auto"/>
        <w:jc w:val="both"/>
        <w:rPr>
          <w:b/>
          <w:bCs/>
          <w:color w:val="1F497D" w:themeColor="text2"/>
          <w:sz w:val="28"/>
          <w:szCs w:val="28"/>
        </w:rPr>
      </w:pPr>
    </w:p>
    <w:p w:rsidR="00043726" w:rsidP="00043726" w:rsidRDefault="00043726" w14:paraId="10FE1C6D" w14:textId="77777777">
      <w:pPr>
        <w:spacing w:after="0" w:line="240" w:lineRule="auto"/>
        <w:jc w:val="both"/>
        <w:rPr>
          <w:b/>
          <w:bCs/>
          <w:color w:val="1F497D" w:themeColor="text2"/>
          <w:sz w:val="28"/>
          <w:szCs w:val="28"/>
        </w:rPr>
      </w:pPr>
      <w:r>
        <w:rPr>
          <w:b/>
          <w:bCs/>
          <w:color w:val="1F497D" w:themeColor="text2"/>
          <w:sz w:val="28"/>
          <w:szCs w:val="28"/>
        </w:rPr>
        <w:t>Staff responsibilities:</w:t>
      </w:r>
    </w:p>
    <w:p w:rsidR="00043726" w:rsidP="00043726" w:rsidRDefault="00043726" w14:paraId="144A5D23" w14:textId="77777777">
      <w:pPr>
        <w:spacing w:after="0" w:line="240" w:lineRule="auto"/>
        <w:jc w:val="both"/>
      </w:pPr>
    </w:p>
    <w:p w:rsidR="00043726" w:rsidP="00043726" w:rsidRDefault="00043726" w14:paraId="1895D433" w14:textId="42F07C2F">
      <w:pPr>
        <w:spacing w:after="0" w:line="240" w:lineRule="auto"/>
        <w:jc w:val="both"/>
      </w:pPr>
      <w:r>
        <w:t xml:space="preserve">Child Protection and safeguarding is the responsibility of all staff.  It is the responsibility of every member of staff to refer any concerns about a child’s safety and welfare to the DSL or the </w:t>
      </w:r>
      <w:r w:rsidR="00E734E4">
        <w:t>D</w:t>
      </w:r>
      <w:r>
        <w:t xml:space="preserve">DSL.  Recognising CE is not easy, and it is not staff’s responsibility to decide whether or not CE has taken place or if a child is at significant risk.  Staff are advised to maintain an attitude of </w:t>
      </w:r>
      <w:r>
        <w:rPr>
          <w:i/>
        </w:rPr>
        <w:t>‘it could happen here’</w:t>
      </w:r>
      <w:r>
        <w:t xml:space="preserve"> where safeguarding is concerned.  All staff have a responsibility to act in the interests of the child if they have a concern about a child’s welfare or safety. </w:t>
      </w:r>
    </w:p>
    <w:p w:rsidR="00043726" w:rsidP="00043726" w:rsidRDefault="00043726" w14:paraId="738610EB" w14:textId="77777777">
      <w:pPr>
        <w:spacing w:after="0" w:line="240" w:lineRule="auto"/>
        <w:jc w:val="both"/>
      </w:pPr>
    </w:p>
    <w:p w:rsidR="00043726" w:rsidP="00043726" w:rsidRDefault="00043726" w14:paraId="6B00E0DA" w14:textId="40C5A24B">
      <w:pPr>
        <w:spacing w:after="0" w:line="240" w:lineRule="auto"/>
        <w:jc w:val="both"/>
      </w:pPr>
      <w:r>
        <w:t xml:space="preserve">Safeguarding training will be delivered annually for all staff and will cover CCE.  </w:t>
      </w:r>
    </w:p>
    <w:p w:rsidR="00043726" w:rsidP="00043726" w:rsidRDefault="00043726" w14:paraId="637805D2" w14:textId="77777777">
      <w:pPr>
        <w:spacing w:after="0" w:line="240" w:lineRule="auto"/>
        <w:jc w:val="both"/>
      </w:pPr>
    </w:p>
    <w:p w:rsidR="00043726" w:rsidP="00043726" w:rsidRDefault="00043726" w14:paraId="3389662E" w14:textId="20B9F38E">
      <w:pPr>
        <w:spacing w:after="0" w:line="240" w:lineRule="auto"/>
        <w:jc w:val="both"/>
        <w:rPr>
          <w:b/>
        </w:rPr>
      </w:pPr>
      <w:r>
        <w:rPr>
          <w:b/>
        </w:rPr>
        <w:t>The relationships and associations that staff have in school and outside (including online), may have an implication for the safeguarding of pupils in the school.  Where this is the case, staff MUST speak to the Headteacher.</w:t>
      </w:r>
    </w:p>
    <w:p w:rsidR="00EC5ABC" w:rsidP="00043726" w:rsidRDefault="00EC5ABC" w14:paraId="270C5830" w14:textId="3D7AB60F">
      <w:pPr>
        <w:rPr>
          <w:b/>
          <w:color w:val="1F497D" w:themeColor="text2"/>
          <w:sz w:val="24"/>
        </w:rPr>
      </w:pPr>
    </w:p>
    <w:p w:rsidRPr="00EC5ABC" w:rsidR="00782A49" w:rsidP="00EC5ABC" w:rsidRDefault="00782A49" w14:paraId="271FC733" w14:textId="54F8623E">
      <w:pPr>
        <w:ind w:left="360"/>
        <w:rPr>
          <w:rFonts w:ascii="Calibri" w:hAnsi="Calibri" w:eastAsia="Calibri" w:cs="Calibri"/>
          <w:iCs/>
          <w:sz w:val="24"/>
          <w:szCs w:val="24"/>
        </w:rPr>
      </w:pPr>
    </w:p>
    <w:p w:rsidRPr="00EC5ABC" w:rsidR="00E5189D" w:rsidP="5F656A58" w:rsidRDefault="00E5189D" w14:paraId="3A0FF5F2" w14:textId="77777777">
      <w:pPr>
        <w:spacing w:after="0" w:line="240" w:lineRule="auto"/>
        <w:rPr>
          <w:i/>
          <w:iCs/>
        </w:rPr>
      </w:pPr>
    </w:p>
    <w:p w:rsidRPr="00EC5ABC" w:rsidR="00E5189D" w:rsidP="5F656A58" w:rsidRDefault="00E5189D" w14:paraId="5630AD66" w14:textId="77777777">
      <w:pPr>
        <w:spacing w:after="0" w:line="240" w:lineRule="auto"/>
        <w:rPr>
          <w:i/>
          <w:iCs/>
        </w:rPr>
      </w:pPr>
    </w:p>
    <w:p w:rsidRPr="00EC5ABC" w:rsidR="001866D6" w:rsidP="5F656A58" w:rsidRDefault="001866D6" w14:paraId="61829076" w14:textId="77777777">
      <w:pPr>
        <w:spacing w:after="0" w:line="240" w:lineRule="auto"/>
        <w:rPr>
          <w:i/>
          <w:iCs/>
        </w:rPr>
      </w:pPr>
    </w:p>
    <w:p w:rsidRPr="00EC5ABC" w:rsidR="001866D6" w:rsidP="5F656A58" w:rsidRDefault="001866D6" w14:paraId="2BA226A1" w14:textId="24EB1ADC">
      <w:pPr>
        <w:spacing w:after="0" w:line="240" w:lineRule="auto"/>
        <w:rPr>
          <w:i/>
          <w:iCs/>
        </w:rPr>
      </w:pPr>
    </w:p>
    <w:p w:rsidRPr="00EC5ABC" w:rsidR="001866D6" w:rsidP="5F656A58" w:rsidRDefault="001866D6" w14:paraId="17AD93B2" w14:textId="77777777">
      <w:pPr>
        <w:spacing w:after="0" w:line="240" w:lineRule="auto"/>
        <w:rPr>
          <w:i/>
          <w:iCs/>
        </w:rPr>
      </w:pPr>
    </w:p>
    <w:p w:rsidRPr="00EC5ABC" w:rsidR="002449F5" w:rsidP="5F656A58" w:rsidRDefault="002449F5" w14:paraId="0DE4B5B7" w14:textId="77777777">
      <w:pPr>
        <w:spacing w:after="0" w:line="240" w:lineRule="auto"/>
        <w:jc w:val="center"/>
        <w:rPr>
          <w:i/>
          <w:iCs/>
          <w:sz w:val="12"/>
          <w:szCs w:val="12"/>
        </w:rPr>
      </w:pPr>
    </w:p>
    <w:sectPr w:rsidRPr="00EC5ABC" w:rsidR="002449F5" w:rsidSect="0050317D">
      <w:footerReference w:type="default" r:id="rId12"/>
      <w:pgSz w:w="11906" w:h="16838" w:orient="portrait"/>
      <w:pgMar w:top="907" w:right="1021" w:bottom="1135" w:left="1021" w:header="709"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17D" w:rsidP="00D8324C" w:rsidRDefault="0050317D" w14:paraId="392A3A3E" w14:textId="77777777">
      <w:pPr>
        <w:spacing w:after="0" w:line="240" w:lineRule="auto"/>
      </w:pPr>
      <w:r>
        <w:separator/>
      </w:r>
    </w:p>
  </w:endnote>
  <w:endnote w:type="continuationSeparator" w:id="0">
    <w:p w:rsidR="0050317D" w:rsidP="00D8324C" w:rsidRDefault="0050317D" w14:paraId="0F0A4F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D8324C" w:rsidR="00FB5D67" w:rsidRDefault="00156974" w14:paraId="7467CF17" w14:textId="1DA08EFC">
    <w:pPr>
      <w:pStyle w:val="Footer"/>
      <w:rPr>
        <w:color w:val="7F7F7F" w:themeColor="text1" w:themeTint="80"/>
        <w:sz w:val="16"/>
        <w:szCs w:val="16"/>
      </w:rPr>
    </w:pPr>
    <w:r>
      <w:rPr>
        <w:noProof/>
        <w:color w:val="7F7F7F" w:themeColor="text1" w:themeTint="80"/>
        <w:sz w:val="16"/>
        <w:szCs w:val="16"/>
      </w:rPr>
      <mc:AlternateContent>
        <mc:Choice Requires="wps">
          <w:drawing>
            <wp:anchor distT="0" distB="0" distL="114300" distR="114300" simplePos="0" relativeHeight="251661312" behindDoc="0" locked="0" layoutInCell="1" allowOverlap="1" wp14:anchorId="16E1F25A" wp14:editId="07777777">
              <wp:simplePos x="0" y="0"/>
              <wp:positionH relativeFrom="column">
                <wp:posOffset>-635</wp:posOffset>
              </wp:positionH>
              <wp:positionV relativeFrom="paragraph">
                <wp:posOffset>-59055</wp:posOffset>
              </wp:positionV>
              <wp:extent cx="6229350" cy="0"/>
              <wp:effectExtent l="8890" t="7620" r="10160" b="1143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63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48C2EEC">
            <v:shapetype id="_x0000_t32" coordsize="21600,21600" o:oned="t" filled="f" o:spt="32" path="m,l21600,21600e" w14:anchorId="7BF746D9">
              <v:path fillok="f" arrowok="t" o:connecttype="none"/>
              <o:lock v:ext="edit" shapetype="t"/>
            </v:shapetype>
            <v:shape id="AutoShape 1" style="position:absolute;margin-left:-.05pt;margin-top:-4.65pt;width:49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"/>
          </w:pict>
        </mc:Fallback>
      </mc:AlternateContent>
    </w:r>
    <w:r w:rsidR="00FB5D67">
      <w:rPr>
        <w:noProof/>
        <w:color w:val="7F7F7F" w:themeColor="text1" w:themeTint="80"/>
        <w:sz w:val="16"/>
        <w:szCs w:val="16"/>
      </w:rPr>
      <w:t>HPRS |</w:t>
    </w:r>
    <w:r w:rsidRPr="00D8324C" w:rsidR="00FB5D67">
      <w:rPr>
        <w:color w:val="7F7F7F" w:themeColor="text1" w:themeTint="80"/>
        <w:sz w:val="16"/>
        <w:szCs w:val="16"/>
      </w:rPr>
      <w:t xml:space="preserve"> </w:t>
    </w:r>
    <w:r w:rsidR="00043726">
      <w:rPr>
        <w:color w:val="7F7F7F" w:themeColor="text1" w:themeTint="80"/>
        <w:sz w:val="16"/>
        <w:szCs w:val="16"/>
      </w:rPr>
      <w:t>CRIMINAL EXPLOITATION</w:t>
    </w:r>
    <w:r w:rsidR="001866D6">
      <w:rPr>
        <w:color w:val="7F7F7F" w:themeColor="text1" w:themeTint="80"/>
        <w:sz w:val="16"/>
        <w:szCs w:val="16"/>
      </w:rPr>
      <w:t xml:space="preserve"> </w:t>
    </w:r>
    <w:r w:rsidR="00420F6F">
      <w:rPr>
        <w:color w:val="7F7F7F" w:themeColor="text1" w:themeTint="80"/>
        <w:sz w:val="16"/>
        <w:szCs w:val="16"/>
      </w:rPr>
      <w:t>POLICY</w:t>
    </w:r>
    <w:r w:rsidRPr="00D8324C" w:rsidR="00FB5D67">
      <w:rPr>
        <w:color w:val="7F7F7F" w:themeColor="text1" w:themeTint="80"/>
        <w:sz w:val="16"/>
        <w:szCs w:val="16"/>
      </w:rPr>
      <w:tab/>
    </w:r>
    <w:r w:rsidRPr="00D8324C" w:rsidR="00FB5D67">
      <w:rPr>
        <w:color w:val="7F7F7F" w:themeColor="text1" w:themeTint="80"/>
        <w:sz w:val="16"/>
        <w:szCs w:val="16"/>
      </w:rPr>
      <w:tab/>
    </w:r>
    <w:r w:rsidRPr="00D8324C" w:rsidR="00FB5D67">
      <w:rPr>
        <w:color w:val="7F7F7F" w:themeColor="text1" w:themeTint="80"/>
        <w:sz w:val="16"/>
        <w:szCs w:val="16"/>
      </w:rPr>
      <w:tab/>
    </w:r>
    <w:r w:rsidRPr="00D8324C" w:rsidR="00FB5D67">
      <w:rPr>
        <w:color w:val="7F7F7F" w:themeColor="text1" w:themeTint="80"/>
        <w:sz w:val="16"/>
        <w:szCs w:val="16"/>
      </w:rPr>
      <w:t xml:space="preserve">Page </w:t>
    </w:r>
    <w:r w:rsidRPr="00D8324C" w:rsidR="00390EED">
      <w:rPr>
        <w:color w:val="7F7F7F" w:themeColor="text1" w:themeTint="80"/>
        <w:sz w:val="16"/>
        <w:szCs w:val="16"/>
      </w:rPr>
      <w:fldChar w:fldCharType="begin"/>
    </w:r>
    <w:r w:rsidRPr="00D8324C" w:rsidR="00FB5D67">
      <w:rPr>
        <w:color w:val="7F7F7F" w:themeColor="text1" w:themeTint="80"/>
        <w:sz w:val="16"/>
        <w:szCs w:val="16"/>
      </w:rPr>
      <w:instrText xml:space="preserve"> PAGE   \* MERGEFORMAT </w:instrText>
    </w:r>
    <w:r w:rsidRPr="00D8324C" w:rsidR="00390EED">
      <w:rPr>
        <w:color w:val="7F7F7F" w:themeColor="text1" w:themeTint="80"/>
        <w:sz w:val="16"/>
        <w:szCs w:val="16"/>
      </w:rPr>
      <w:fldChar w:fldCharType="separate"/>
    </w:r>
    <w:r w:rsidR="00396F60">
      <w:rPr>
        <w:noProof/>
        <w:color w:val="7F7F7F" w:themeColor="text1" w:themeTint="80"/>
        <w:sz w:val="16"/>
        <w:szCs w:val="16"/>
      </w:rPr>
      <w:t>4</w:t>
    </w:r>
    <w:r w:rsidRPr="00D8324C" w:rsidR="00390EED">
      <w:rPr>
        <w:color w:val="7F7F7F" w:themeColor="text1" w:themeTint="80"/>
        <w:sz w:val="16"/>
        <w:szCs w:val="16"/>
      </w:rPr>
      <w:fldChar w:fldCharType="end"/>
    </w:r>
  </w:p>
  <w:p w:rsidR="00FB5D67" w:rsidRDefault="00FB5D67" w14:paraId="680A4E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17D" w:rsidP="00D8324C" w:rsidRDefault="0050317D" w14:paraId="533770CD" w14:textId="77777777">
      <w:pPr>
        <w:spacing w:after="0" w:line="240" w:lineRule="auto"/>
      </w:pPr>
      <w:r>
        <w:separator/>
      </w:r>
    </w:p>
  </w:footnote>
  <w:footnote w:type="continuationSeparator" w:id="0">
    <w:p w:rsidR="0050317D" w:rsidP="00D8324C" w:rsidRDefault="0050317D" w14:paraId="47C1125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B00"/>
    <w:multiLevelType w:val="hybridMultilevel"/>
    <w:tmpl w:val="9AA2C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6C46E6"/>
    <w:multiLevelType w:val="hybridMultilevel"/>
    <w:tmpl w:val="8CEA5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AD5344"/>
    <w:multiLevelType w:val="hybridMultilevel"/>
    <w:tmpl w:val="3286B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711F7C"/>
    <w:multiLevelType w:val="hybridMultilevel"/>
    <w:tmpl w:val="012C3C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6730716"/>
    <w:multiLevelType w:val="hybridMultilevel"/>
    <w:tmpl w:val="32ECD3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DDA2167"/>
    <w:multiLevelType w:val="hybridMultilevel"/>
    <w:tmpl w:val="473C4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0F256CC"/>
    <w:multiLevelType w:val="hybridMultilevel"/>
    <w:tmpl w:val="6F14E3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73A40BF"/>
    <w:multiLevelType w:val="hybridMultilevel"/>
    <w:tmpl w:val="27C4F1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5BC4966"/>
    <w:multiLevelType w:val="hybridMultilevel"/>
    <w:tmpl w:val="3EC44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B014DDB"/>
    <w:multiLevelType w:val="hybridMultilevel"/>
    <w:tmpl w:val="14B6F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EE05142"/>
    <w:multiLevelType w:val="hybridMultilevel"/>
    <w:tmpl w:val="4DFAC0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60012268">
    <w:abstractNumId w:val="7"/>
  </w:num>
  <w:num w:numId="2" w16cid:durableId="2125731061">
    <w:abstractNumId w:val="6"/>
  </w:num>
  <w:num w:numId="3" w16cid:durableId="1423989804">
    <w:abstractNumId w:val="1"/>
  </w:num>
  <w:num w:numId="4" w16cid:durableId="903760145">
    <w:abstractNumId w:val="0"/>
  </w:num>
  <w:num w:numId="5" w16cid:durableId="557320228">
    <w:abstractNumId w:val="5"/>
  </w:num>
  <w:num w:numId="6" w16cid:durableId="1974212256">
    <w:abstractNumId w:val="8"/>
  </w:num>
  <w:num w:numId="7" w16cid:durableId="928347221">
    <w:abstractNumId w:val="2"/>
  </w:num>
  <w:num w:numId="8" w16cid:durableId="2078935278">
    <w:abstractNumId w:val="10"/>
  </w:num>
  <w:num w:numId="9" w16cid:durableId="1633055301">
    <w:abstractNumId w:val="3"/>
  </w:num>
  <w:num w:numId="10" w16cid:durableId="1096364923">
    <w:abstractNumId w:val="9"/>
  </w:num>
  <w:num w:numId="11" w16cid:durableId="1558279477">
    <w:abstractNumId w:val="4"/>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95"/>
    <w:rsid w:val="0001171D"/>
    <w:rsid w:val="0001231F"/>
    <w:rsid w:val="00043726"/>
    <w:rsid w:val="000567DE"/>
    <w:rsid w:val="0007730B"/>
    <w:rsid w:val="00085F6C"/>
    <w:rsid w:val="000B5735"/>
    <w:rsid w:val="000C2103"/>
    <w:rsid w:val="000F66CB"/>
    <w:rsid w:val="001079A5"/>
    <w:rsid w:val="00111973"/>
    <w:rsid w:val="00130559"/>
    <w:rsid w:val="00130B9B"/>
    <w:rsid w:val="00155DEE"/>
    <w:rsid w:val="00156974"/>
    <w:rsid w:val="001828A1"/>
    <w:rsid w:val="001866D6"/>
    <w:rsid w:val="001B00F0"/>
    <w:rsid w:val="001F422C"/>
    <w:rsid w:val="002021B5"/>
    <w:rsid w:val="0020691C"/>
    <w:rsid w:val="00237E72"/>
    <w:rsid w:val="00242231"/>
    <w:rsid w:val="002449F5"/>
    <w:rsid w:val="00271679"/>
    <w:rsid w:val="002803F0"/>
    <w:rsid w:val="002845CD"/>
    <w:rsid w:val="002E3D8D"/>
    <w:rsid w:val="002E7A10"/>
    <w:rsid w:val="00324452"/>
    <w:rsid w:val="003304AE"/>
    <w:rsid w:val="003336C8"/>
    <w:rsid w:val="00362E84"/>
    <w:rsid w:val="00385046"/>
    <w:rsid w:val="00390EED"/>
    <w:rsid w:val="00396F60"/>
    <w:rsid w:val="003E20A2"/>
    <w:rsid w:val="003E510D"/>
    <w:rsid w:val="003F2913"/>
    <w:rsid w:val="00402788"/>
    <w:rsid w:val="00420F6F"/>
    <w:rsid w:val="004536B1"/>
    <w:rsid w:val="0049234C"/>
    <w:rsid w:val="004C2495"/>
    <w:rsid w:val="004E6746"/>
    <w:rsid w:val="0050317D"/>
    <w:rsid w:val="00505DF0"/>
    <w:rsid w:val="0052184E"/>
    <w:rsid w:val="0052441E"/>
    <w:rsid w:val="00541850"/>
    <w:rsid w:val="00542139"/>
    <w:rsid w:val="00585683"/>
    <w:rsid w:val="005F3945"/>
    <w:rsid w:val="0063111E"/>
    <w:rsid w:val="0067383D"/>
    <w:rsid w:val="006856A8"/>
    <w:rsid w:val="00697697"/>
    <w:rsid w:val="006C53E2"/>
    <w:rsid w:val="006C6EB4"/>
    <w:rsid w:val="007108E1"/>
    <w:rsid w:val="00745AF6"/>
    <w:rsid w:val="007767E4"/>
    <w:rsid w:val="00782A49"/>
    <w:rsid w:val="00784E76"/>
    <w:rsid w:val="007873D7"/>
    <w:rsid w:val="007A1959"/>
    <w:rsid w:val="008322D6"/>
    <w:rsid w:val="00844D97"/>
    <w:rsid w:val="008453F7"/>
    <w:rsid w:val="00846DAC"/>
    <w:rsid w:val="00883AC5"/>
    <w:rsid w:val="008C77F4"/>
    <w:rsid w:val="008F7CD9"/>
    <w:rsid w:val="009116AC"/>
    <w:rsid w:val="0092256A"/>
    <w:rsid w:val="00954115"/>
    <w:rsid w:val="00985FC6"/>
    <w:rsid w:val="009A4D14"/>
    <w:rsid w:val="009A6DDE"/>
    <w:rsid w:val="009B5B86"/>
    <w:rsid w:val="009D14CF"/>
    <w:rsid w:val="00A22121"/>
    <w:rsid w:val="00A2615B"/>
    <w:rsid w:val="00A33477"/>
    <w:rsid w:val="00A60562"/>
    <w:rsid w:val="00A85E07"/>
    <w:rsid w:val="00A96967"/>
    <w:rsid w:val="00AB5E2F"/>
    <w:rsid w:val="00AD21C7"/>
    <w:rsid w:val="00AD6496"/>
    <w:rsid w:val="00AE4917"/>
    <w:rsid w:val="00B34559"/>
    <w:rsid w:val="00B57B5E"/>
    <w:rsid w:val="00B97749"/>
    <w:rsid w:val="00BB008C"/>
    <w:rsid w:val="00BB2A25"/>
    <w:rsid w:val="00BB3EEB"/>
    <w:rsid w:val="00BF1D5A"/>
    <w:rsid w:val="00C11A30"/>
    <w:rsid w:val="00C12637"/>
    <w:rsid w:val="00D20FB0"/>
    <w:rsid w:val="00D42D65"/>
    <w:rsid w:val="00D62D17"/>
    <w:rsid w:val="00D63C02"/>
    <w:rsid w:val="00D66EBA"/>
    <w:rsid w:val="00D8324C"/>
    <w:rsid w:val="00D8756D"/>
    <w:rsid w:val="00D91DA5"/>
    <w:rsid w:val="00DA2E50"/>
    <w:rsid w:val="00DC5783"/>
    <w:rsid w:val="00DD3680"/>
    <w:rsid w:val="00DE3480"/>
    <w:rsid w:val="00E173D4"/>
    <w:rsid w:val="00E45DA4"/>
    <w:rsid w:val="00E5189D"/>
    <w:rsid w:val="00E5243B"/>
    <w:rsid w:val="00E734E4"/>
    <w:rsid w:val="00E77378"/>
    <w:rsid w:val="00E935E8"/>
    <w:rsid w:val="00E950FA"/>
    <w:rsid w:val="00EC5ABC"/>
    <w:rsid w:val="00F504E9"/>
    <w:rsid w:val="00F760F1"/>
    <w:rsid w:val="00F827DE"/>
    <w:rsid w:val="00F91EF9"/>
    <w:rsid w:val="00FA0D29"/>
    <w:rsid w:val="00FA551F"/>
    <w:rsid w:val="00FB5D67"/>
    <w:rsid w:val="00FD0264"/>
    <w:rsid w:val="00FF396A"/>
    <w:rsid w:val="3FE13585"/>
    <w:rsid w:val="4C325021"/>
    <w:rsid w:val="5F656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FF50D"/>
  <w15:docId w15:val="{E929A734-348A-4D7E-AAF7-0497A4A480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C249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C2495"/>
    <w:rPr>
      <w:rFonts w:ascii="Tahoma" w:hAnsi="Tahoma" w:cs="Tahoma"/>
      <w:sz w:val="16"/>
      <w:szCs w:val="16"/>
    </w:rPr>
  </w:style>
  <w:style w:type="paragraph" w:styleId="ListParagraph">
    <w:name w:val="List Paragraph"/>
    <w:basedOn w:val="Normal"/>
    <w:uiPriority w:val="34"/>
    <w:qFormat/>
    <w:rsid w:val="00C11A30"/>
    <w:pPr>
      <w:ind w:left="720"/>
      <w:contextualSpacing/>
    </w:pPr>
  </w:style>
  <w:style w:type="table" w:styleId="TableGrid">
    <w:name w:val="Table Grid"/>
    <w:basedOn w:val="TableNormal"/>
    <w:uiPriority w:val="59"/>
    <w:rsid w:val="00BB008C"/>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nhideWhenUsed/>
    <w:rsid w:val="00D832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8324C"/>
  </w:style>
  <w:style w:type="paragraph" w:styleId="Footer">
    <w:name w:val="footer"/>
    <w:basedOn w:val="Normal"/>
    <w:link w:val="FooterChar"/>
    <w:uiPriority w:val="99"/>
    <w:unhideWhenUsed/>
    <w:rsid w:val="00D8324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8324C"/>
  </w:style>
  <w:style w:type="character" w:styleId="Hyperlink">
    <w:name w:val="Hyperlink"/>
    <w:basedOn w:val="DefaultParagraphFont"/>
    <w:uiPriority w:val="99"/>
    <w:unhideWhenUsed/>
    <w:rsid w:val="0052441E"/>
    <w:rPr>
      <w:color w:val="0000FF" w:themeColor="hyperlink"/>
      <w:u w:val="single"/>
    </w:rPr>
  </w:style>
  <w:style w:type="paragraph" w:styleId="NoSpacing">
    <w:name w:val="No Spacing"/>
    <w:uiPriority w:val="1"/>
    <w:qFormat/>
    <w:rsid w:val="002E3D8D"/>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A593C3189B4847A090992EBDCED000" ma:contentTypeVersion="12" ma:contentTypeDescription="Create a new document." ma:contentTypeScope="" ma:versionID="19805d75d7d702633dd0c3cbe81d9e22">
  <xsd:schema xmlns:xsd="http://www.w3.org/2001/XMLSchema" xmlns:xs="http://www.w3.org/2001/XMLSchema" xmlns:p="http://schemas.microsoft.com/office/2006/metadata/properties" xmlns:ns2="c1188ab5-95b2-4849-9e05-3ed23f9aff22" xmlns:ns3="e2371dee-6a55-463f-82b6-aa77a9214135" targetNamespace="http://schemas.microsoft.com/office/2006/metadata/properties" ma:root="true" ma:fieldsID="860fe7a30c0a855c080155e2ae258da8" ns2:_="" ns3:_="">
    <xsd:import namespace="c1188ab5-95b2-4849-9e05-3ed23f9aff22"/>
    <xsd:import namespace="e2371dee-6a55-463f-82b6-aa77a9214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8ab5-95b2-4849-9e05-3ed23f9af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c65f3d-4fb4-43ba-abfc-dd37a1ccf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71dee-6a55-463f-82b6-aa77a92141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06c3c8-ac4a-48c4-aea6-828f3ff26afb}" ma:internalName="TaxCatchAll" ma:showField="CatchAllData" ma:web="e2371dee-6a55-463f-82b6-aa77a9214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188ab5-95b2-4849-9e05-3ed23f9aff22">
      <Terms xmlns="http://schemas.microsoft.com/office/infopath/2007/PartnerControls"/>
    </lcf76f155ced4ddcb4097134ff3c332f>
    <TaxCatchAll xmlns="e2371dee-6a55-463f-82b6-aa77a9214135" xsi:nil="true"/>
  </documentManagement>
</p:properties>
</file>

<file path=customXml/itemProps1.xml><?xml version="1.0" encoding="utf-8"?>
<ds:datastoreItem xmlns:ds="http://schemas.openxmlformats.org/officeDocument/2006/customXml" ds:itemID="{91E02D7A-252B-4F3A-824F-08A8C1C592F7}">
  <ds:schemaRefs>
    <ds:schemaRef ds:uri="http://schemas.openxmlformats.org/officeDocument/2006/bibliography"/>
  </ds:schemaRefs>
</ds:datastoreItem>
</file>

<file path=customXml/itemProps2.xml><?xml version="1.0" encoding="utf-8"?>
<ds:datastoreItem xmlns:ds="http://schemas.openxmlformats.org/officeDocument/2006/customXml" ds:itemID="{C752B050-47BC-4252-97E4-B9A62F91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88ab5-95b2-4849-9e05-3ed23f9aff22"/>
    <ds:schemaRef ds:uri="e2371dee-6a55-463f-82b6-aa77a9214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85A28-EEEA-4232-91D9-B8AFA212CDF5}">
  <ds:schemaRefs>
    <ds:schemaRef ds:uri="http://schemas.microsoft.com/sharepoint/v3/contenttype/forms"/>
  </ds:schemaRefs>
</ds:datastoreItem>
</file>

<file path=customXml/itemProps4.xml><?xml version="1.0" encoding="utf-8"?>
<ds:datastoreItem xmlns:ds="http://schemas.openxmlformats.org/officeDocument/2006/customXml" ds:itemID="{5C228679-F4D3-4837-8831-D6E206B7970A}">
  <ds:schemaRefs>
    <ds:schemaRef ds:uri="http://schemas.microsoft.com/office/2006/metadata/properties"/>
    <ds:schemaRef ds:uri="http://schemas.microsoft.com/office/infopath/2007/PartnerControls"/>
    <ds:schemaRef ds:uri="c1188ab5-95b2-4849-9e05-3ed23f9aff22"/>
    <ds:schemaRef ds:uri="e2371dee-6a55-463f-82b6-aa77a921413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Davids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James Bowdler</dc:creator>
  <lastModifiedBy>Bev Blower</lastModifiedBy>
  <revision>4</revision>
  <lastPrinted>2015-05-11T09:56:00.0000000Z</lastPrinted>
  <dcterms:created xsi:type="dcterms:W3CDTF">2026-01-11T13:33:00.0000000Z</dcterms:created>
  <dcterms:modified xsi:type="dcterms:W3CDTF">2026-01-26T11:55:02.0958981Z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0x01010088A593C3189B4847A090992EBDCED000</vt:lpwstr>
  </property>
  <property fmtid="{D5CDD505-2E9C-101B-9397-08002B2CF9AE}" pid="3" name="MediaServiceImageTags">
    <vt:lpwstr/>
  </property>
</Properties>
</file>