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9BF2" w14:textId="77777777" w:rsidR="00FB5D67" w:rsidRDefault="00687CA2" w:rsidP="00822049">
      <w:pPr>
        <w:spacing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CF61E96" wp14:editId="390044AC">
            <wp:simplePos x="0" y="0"/>
            <wp:positionH relativeFrom="column">
              <wp:posOffset>-135890</wp:posOffset>
            </wp:positionH>
            <wp:positionV relativeFrom="paragraph">
              <wp:posOffset>-83185</wp:posOffset>
            </wp:positionV>
            <wp:extent cx="6530340" cy="890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RS Header 2016 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37BAB" w14:textId="77777777" w:rsidR="00C11A30" w:rsidRPr="002E3D8D" w:rsidRDefault="007E007B" w:rsidP="00FB5D67">
      <w:pPr>
        <w:shd w:val="clear" w:color="auto" w:fill="1F497D" w:themeFill="text2"/>
        <w:spacing w:after="0" w:line="240" w:lineRule="auto"/>
        <w:jc w:val="center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>ADMISSIONS CRITERIA</w:t>
      </w:r>
    </w:p>
    <w:p w14:paraId="694C000C" w14:textId="119E8F5A" w:rsidR="0020691C" w:rsidRPr="002E3D8D" w:rsidRDefault="002E3D8D" w:rsidP="002E3D8D">
      <w:pPr>
        <w:spacing w:after="0" w:line="240" w:lineRule="auto"/>
        <w:jc w:val="right"/>
        <w:rPr>
          <w:sz w:val="20"/>
        </w:rPr>
      </w:pPr>
      <w:r w:rsidRPr="002E3D8D">
        <w:rPr>
          <w:sz w:val="20"/>
        </w:rPr>
        <w:t xml:space="preserve">Version: </w:t>
      </w:r>
      <w:r w:rsidR="00FE3B7B">
        <w:rPr>
          <w:sz w:val="20"/>
        </w:rPr>
        <w:t>Summer 202</w:t>
      </w:r>
      <w:r w:rsidR="0075073F">
        <w:rPr>
          <w:sz w:val="20"/>
        </w:rPr>
        <w:t>5</w:t>
      </w:r>
    </w:p>
    <w:p w14:paraId="23AABDA7" w14:textId="77777777" w:rsidR="0092256A" w:rsidRDefault="0092256A" w:rsidP="00C11A30">
      <w:pPr>
        <w:spacing w:after="0" w:line="240" w:lineRule="auto"/>
      </w:pPr>
    </w:p>
    <w:p w14:paraId="683A7BB8" w14:textId="77777777" w:rsidR="00822049" w:rsidRDefault="00822049" w:rsidP="00C11A30">
      <w:pPr>
        <w:spacing w:after="0" w:line="240" w:lineRule="auto"/>
      </w:pPr>
    </w:p>
    <w:p w14:paraId="26A929B2" w14:textId="77777777" w:rsidR="00C11A30" w:rsidRPr="00FD0264" w:rsidRDefault="007E007B" w:rsidP="0075073F">
      <w:pPr>
        <w:spacing w:after="0" w:line="240" w:lineRule="aut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Background</w:t>
      </w:r>
    </w:p>
    <w:p w14:paraId="42B16210" w14:textId="77777777" w:rsidR="00C11A30" w:rsidRDefault="00C11A30" w:rsidP="0075073F">
      <w:pPr>
        <w:spacing w:after="0" w:line="240" w:lineRule="auto"/>
        <w:jc w:val="both"/>
      </w:pPr>
    </w:p>
    <w:p w14:paraId="2A0BD5D5" w14:textId="189AB58F" w:rsidR="007E007B" w:rsidRDefault="007E007B" w:rsidP="0075073F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E007B">
        <w:rPr>
          <w:rFonts w:ascii="Calibri" w:eastAsia="Times New Roman" w:hAnsi="Calibri" w:cs="Times New Roman"/>
        </w:rPr>
        <w:t xml:space="preserve">The Local Authority commissions </w:t>
      </w:r>
      <w:r w:rsidR="002E6D77">
        <w:rPr>
          <w:rFonts w:ascii="Calibri" w:eastAsia="Times New Roman" w:hAnsi="Calibri" w:cs="Times New Roman"/>
        </w:rPr>
        <w:t>64</w:t>
      </w:r>
      <w:r w:rsidRPr="007E007B">
        <w:rPr>
          <w:rFonts w:ascii="Calibri" w:eastAsia="Times New Roman" w:hAnsi="Calibri" w:cs="Times New Roman"/>
        </w:rPr>
        <w:t xml:space="preserve"> places for priority permanently excluded pupils.  </w:t>
      </w:r>
      <w:r w:rsidR="00FE3B7B" w:rsidRPr="007E007B">
        <w:rPr>
          <w:rFonts w:ascii="Calibri" w:eastAsia="Times New Roman" w:hAnsi="Calibri" w:cs="Times New Roman"/>
        </w:rPr>
        <w:t>An additional 10 places</w:t>
      </w:r>
      <w:r w:rsidRPr="007E007B">
        <w:rPr>
          <w:rFonts w:ascii="Calibri" w:eastAsia="Times New Roman" w:hAnsi="Calibri" w:cs="Times New Roman"/>
        </w:rPr>
        <w:t xml:space="preserve"> </w:t>
      </w:r>
      <w:r w:rsidR="00FE3B7B">
        <w:rPr>
          <w:rFonts w:ascii="Calibri" w:eastAsia="Times New Roman" w:hAnsi="Calibri" w:cs="Times New Roman"/>
        </w:rPr>
        <w:t xml:space="preserve">are available for </w:t>
      </w:r>
      <w:r w:rsidRPr="007E007B">
        <w:rPr>
          <w:rFonts w:ascii="Calibri" w:eastAsia="Times New Roman" w:hAnsi="Calibri" w:cs="Times New Roman"/>
        </w:rPr>
        <w:t>commission</w:t>
      </w:r>
      <w:r w:rsidR="00FE3B7B">
        <w:rPr>
          <w:rFonts w:ascii="Calibri" w:eastAsia="Times New Roman" w:hAnsi="Calibri" w:cs="Times New Roman"/>
        </w:rPr>
        <w:t>ing</w:t>
      </w:r>
      <w:r w:rsidRPr="007E007B">
        <w:rPr>
          <w:rFonts w:ascii="Calibri" w:eastAsia="Times New Roman" w:hAnsi="Calibri" w:cs="Times New Roman"/>
        </w:rPr>
        <w:t xml:space="preserve"> directly </w:t>
      </w:r>
      <w:r w:rsidR="00FE3B7B">
        <w:rPr>
          <w:rFonts w:ascii="Calibri" w:eastAsia="Times New Roman" w:hAnsi="Calibri" w:cs="Times New Roman"/>
        </w:rPr>
        <w:t>by</w:t>
      </w:r>
      <w:r w:rsidRPr="007E007B">
        <w:rPr>
          <w:rFonts w:ascii="Calibri" w:eastAsia="Times New Roman" w:hAnsi="Calibri" w:cs="Times New Roman"/>
        </w:rPr>
        <w:t xml:space="preserve"> schools.  </w:t>
      </w:r>
    </w:p>
    <w:p w14:paraId="231713F0" w14:textId="77777777" w:rsidR="007E007B" w:rsidRDefault="007E007B" w:rsidP="0075073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764A392" w14:textId="77777777" w:rsidR="00BB2A25" w:rsidRDefault="007E007B" w:rsidP="0075073F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E007B">
        <w:rPr>
          <w:rFonts w:ascii="Calibri" w:eastAsia="Times New Roman" w:hAnsi="Calibri" w:cs="Times New Roman"/>
        </w:rPr>
        <w:t xml:space="preserve">Any pupil referred </w:t>
      </w:r>
      <w:r>
        <w:rPr>
          <w:rFonts w:ascii="Calibri" w:eastAsia="Times New Roman" w:hAnsi="Calibri" w:cs="Times New Roman"/>
        </w:rPr>
        <w:t xml:space="preserve">to the service </w:t>
      </w:r>
      <w:r w:rsidRPr="007E007B">
        <w:rPr>
          <w:rFonts w:ascii="Calibri" w:eastAsia="Times New Roman" w:hAnsi="Calibri" w:cs="Times New Roman"/>
        </w:rPr>
        <w:t>should be presenting</w:t>
      </w:r>
      <w:r>
        <w:rPr>
          <w:rFonts w:ascii="Calibri" w:eastAsia="Times New Roman" w:hAnsi="Calibri" w:cs="Times New Roman"/>
        </w:rPr>
        <w:t xml:space="preserve"> with</w:t>
      </w:r>
      <w:r w:rsidRPr="007E007B">
        <w:rPr>
          <w:rFonts w:ascii="Calibri" w:eastAsia="Times New Roman" w:hAnsi="Calibri" w:cs="Times New Roman"/>
        </w:rPr>
        <w:t xml:space="preserve"> continuing, concerning, challenging behaviour and will have received</w:t>
      </w:r>
      <w:r>
        <w:rPr>
          <w:rFonts w:ascii="Calibri" w:eastAsia="Times New Roman" w:hAnsi="Calibri" w:cs="Times New Roman"/>
        </w:rPr>
        <w:t xml:space="preserve"> previous</w:t>
      </w:r>
      <w:r w:rsidRPr="007E007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interventions from within their mainstream schools, often with multi-agency involvement</w:t>
      </w:r>
      <w:r w:rsidRPr="007E007B">
        <w:rPr>
          <w:rFonts w:ascii="Calibri" w:eastAsia="Times New Roman" w:hAnsi="Calibri" w:cs="Times New Roman"/>
        </w:rPr>
        <w:t>.</w:t>
      </w:r>
      <w:r w:rsidR="005C1B40">
        <w:rPr>
          <w:rFonts w:ascii="Calibri" w:eastAsia="Times New Roman" w:hAnsi="Calibri" w:cs="Times New Roman"/>
        </w:rPr>
        <w:t xml:space="preserve"> </w:t>
      </w:r>
    </w:p>
    <w:p w14:paraId="7AE3F984" w14:textId="77777777" w:rsidR="007E007B" w:rsidRPr="00FD0264" w:rsidRDefault="007E007B" w:rsidP="0075073F">
      <w:pPr>
        <w:spacing w:after="0" w:line="240" w:lineRule="auto"/>
        <w:jc w:val="both"/>
        <w:rPr>
          <w:b/>
          <w:bCs/>
          <w:sz w:val="28"/>
          <w:lang w:val="en-US"/>
        </w:rPr>
      </w:pPr>
    </w:p>
    <w:p w14:paraId="16E84939" w14:textId="77777777" w:rsidR="00BB2A25" w:rsidRPr="00FD0264" w:rsidRDefault="002E3D8D" w:rsidP="0075073F">
      <w:pPr>
        <w:spacing w:after="0" w:line="240" w:lineRule="auto"/>
        <w:jc w:val="both"/>
        <w:rPr>
          <w:b/>
          <w:bCs/>
          <w:color w:val="1F497D" w:themeColor="text2"/>
          <w:sz w:val="28"/>
          <w:szCs w:val="28"/>
          <w:lang w:val="en-US"/>
        </w:rPr>
      </w:pPr>
      <w:r w:rsidRPr="00FD0264">
        <w:rPr>
          <w:b/>
          <w:bCs/>
          <w:color w:val="1F497D" w:themeColor="text2"/>
          <w:sz w:val="28"/>
          <w:szCs w:val="28"/>
          <w:lang w:val="en-US"/>
        </w:rPr>
        <w:t>P</w:t>
      </w:r>
      <w:r w:rsidR="007E007B">
        <w:rPr>
          <w:b/>
          <w:bCs/>
          <w:color w:val="1F497D" w:themeColor="text2"/>
          <w:sz w:val="28"/>
          <w:szCs w:val="28"/>
          <w:lang w:val="en-US"/>
        </w:rPr>
        <w:t>ermanently Excluded Pupils</w:t>
      </w:r>
    </w:p>
    <w:p w14:paraId="684DC461" w14:textId="77777777" w:rsidR="00BB2A25" w:rsidRPr="00BB2A25" w:rsidRDefault="00BB2A25" w:rsidP="0075073F">
      <w:pPr>
        <w:spacing w:after="0" w:line="240" w:lineRule="auto"/>
        <w:jc w:val="both"/>
        <w:rPr>
          <w:b/>
          <w:bCs/>
          <w:lang w:val="en-US"/>
        </w:rPr>
      </w:pPr>
    </w:p>
    <w:p w14:paraId="0A73B1AE" w14:textId="77777777" w:rsidR="007E007B" w:rsidRDefault="007E007B" w:rsidP="0075073F">
      <w:pPr>
        <w:spacing w:after="0" w:line="240" w:lineRule="auto"/>
        <w:jc w:val="both"/>
        <w:rPr>
          <w:bCs/>
        </w:rPr>
      </w:pPr>
      <w:r>
        <w:rPr>
          <w:bCs/>
        </w:rPr>
        <w:t>All permanently excluded pupil</w:t>
      </w:r>
      <w:r w:rsidRPr="007E007B">
        <w:rPr>
          <w:bCs/>
        </w:rPr>
        <w:t xml:space="preserve">s </w:t>
      </w:r>
      <w:r>
        <w:rPr>
          <w:bCs/>
        </w:rPr>
        <w:t>in Y</w:t>
      </w:r>
      <w:r w:rsidRPr="007E007B">
        <w:rPr>
          <w:bCs/>
        </w:rPr>
        <w:t>ear</w:t>
      </w:r>
      <w:r>
        <w:rPr>
          <w:bCs/>
        </w:rPr>
        <w:t>s</w:t>
      </w:r>
      <w:r w:rsidRPr="007E007B">
        <w:rPr>
          <w:bCs/>
        </w:rPr>
        <w:t xml:space="preserve"> 7 to 11, who are resident in Herefordshire</w:t>
      </w:r>
      <w:r>
        <w:rPr>
          <w:bCs/>
        </w:rPr>
        <w:t>,</w:t>
      </w:r>
      <w:r w:rsidRPr="007E007B">
        <w:rPr>
          <w:bCs/>
        </w:rPr>
        <w:t xml:space="preserve"> will </w:t>
      </w:r>
      <w:r>
        <w:rPr>
          <w:bCs/>
        </w:rPr>
        <w:t xml:space="preserve">be expected to attend </w:t>
      </w:r>
      <w:r w:rsidRPr="007E007B">
        <w:rPr>
          <w:bCs/>
        </w:rPr>
        <w:t>HPRS fro</w:t>
      </w:r>
      <w:r>
        <w:rPr>
          <w:bCs/>
        </w:rPr>
        <w:t xml:space="preserve">m the 6th day following </w:t>
      </w:r>
      <w:r w:rsidR="00713B19">
        <w:rPr>
          <w:bCs/>
        </w:rPr>
        <w:t>a</w:t>
      </w:r>
      <w:r>
        <w:rPr>
          <w:bCs/>
        </w:rPr>
        <w:t xml:space="preserve"> permanent e</w:t>
      </w:r>
      <w:r w:rsidRPr="007E007B">
        <w:rPr>
          <w:bCs/>
        </w:rPr>
        <w:t xml:space="preserve">xclusion. It is the responsibility of the excluding school to provide work for the first 5 days and for parents to ensure the </w:t>
      </w:r>
      <w:r>
        <w:rPr>
          <w:bCs/>
        </w:rPr>
        <w:t>pupil</w:t>
      </w:r>
      <w:r w:rsidRPr="007E007B">
        <w:rPr>
          <w:bCs/>
        </w:rPr>
        <w:t xml:space="preserve"> is not in a public place during school hours. </w:t>
      </w:r>
    </w:p>
    <w:p w14:paraId="13741E08" w14:textId="77777777" w:rsidR="007E007B" w:rsidRDefault="007E007B" w:rsidP="0075073F">
      <w:pPr>
        <w:spacing w:after="0" w:line="240" w:lineRule="auto"/>
        <w:jc w:val="both"/>
        <w:rPr>
          <w:bCs/>
        </w:rPr>
      </w:pPr>
    </w:p>
    <w:p w14:paraId="68B0C6C3" w14:textId="77777777" w:rsidR="001866D6" w:rsidRPr="00C14B8D" w:rsidRDefault="007E007B" w:rsidP="0075073F">
      <w:pPr>
        <w:spacing w:after="0" w:line="240" w:lineRule="auto"/>
        <w:jc w:val="both"/>
        <w:rPr>
          <w:b/>
          <w:bCs/>
          <w:sz w:val="28"/>
        </w:rPr>
      </w:pPr>
      <w:r w:rsidRPr="00C14B8D">
        <w:rPr>
          <w:b/>
          <w:bCs/>
        </w:rPr>
        <w:t xml:space="preserve">The excluding school must inform the Local Authority immediately.  HPRS MUST be informed </w:t>
      </w:r>
      <w:r w:rsidR="00C14B8D" w:rsidRPr="00C14B8D">
        <w:rPr>
          <w:b/>
          <w:bCs/>
        </w:rPr>
        <w:t>via a</w:t>
      </w:r>
      <w:r w:rsidRPr="00C14B8D">
        <w:rPr>
          <w:b/>
          <w:bCs/>
        </w:rPr>
        <w:t xml:space="preserve"> </w:t>
      </w:r>
      <w:r w:rsidR="005D71FF">
        <w:rPr>
          <w:b/>
          <w:bCs/>
        </w:rPr>
        <w:t>fully-</w:t>
      </w:r>
      <w:r w:rsidRPr="00C14B8D">
        <w:rPr>
          <w:b/>
          <w:bCs/>
        </w:rPr>
        <w:t>completed HPRS Information Passport on</w:t>
      </w:r>
      <w:r w:rsidR="00C14B8D" w:rsidRPr="00C14B8D">
        <w:rPr>
          <w:b/>
          <w:bCs/>
        </w:rPr>
        <w:t xml:space="preserve"> the first day of the exclusion to ensure the 6-day time</w:t>
      </w:r>
      <w:r w:rsidRPr="00C14B8D">
        <w:rPr>
          <w:b/>
          <w:bCs/>
        </w:rPr>
        <w:t xml:space="preserve">scale can be </w:t>
      </w:r>
      <w:r w:rsidR="00C14B8D" w:rsidRPr="00C14B8D">
        <w:rPr>
          <w:b/>
          <w:bCs/>
        </w:rPr>
        <w:t>met.</w:t>
      </w:r>
    </w:p>
    <w:p w14:paraId="60C606F9" w14:textId="77777777" w:rsidR="00E5189D" w:rsidRDefault="00E5189D" w:rsidP="0075073F">
      <w:pPr>
        <w:spacing w:after="0" w:line="240" w:lineRule="auto"/>
        <w:jc w:val="both"/>
      </w:pPr>
    </w:p>
    <w:p w14:paraId="28065A05" w14:textId="77777777" w:rsidR="00E5189D" w:rsidRDefault="00E5189D" w:rsidP="0075073F">
      <w:pPr>
        <w:spacing w:after="0" w:line="240" w:lineRule="auto"/>
        <w:jc w:val="both"/>
      </w:pPr>
    </w:p>
    <w:p w14:paraId="16B84A4F" w14:textId="082670FA" w:rsidR="00713B19" w:rsidRPr="00FD0264" w:rsidRDefault="00713B19" w:rsidP="0075073F">
      <w:pPr>
        <w:spacing w:after="0" w:line="240" w:lineRule="auto"/>
        <w:jc w:val="both"/>
        <w:rPr>
          <w:b/>
          <w:bCs/>
          <w:color w:val="1F497D" w:themeColor="text2"/>
          <w:sz w:val="28"/>
          <w:szCs w:val="28"/>
          <w:lang w:val="en-US"/>
        </w:rPr>
      </w:pPr>
      <w:r>
        <w:rPr>
          <w:b/>
          <w:bCs/>
          <w:color w:val="1F497D" w:themeColor="text2"/>
          <w:sz w:val="28"/>
          <w:szCs w:val="28"/>
          <w:lang w:val="en-US"/>
        </w:rPr>
        <w:t xml:space="preserve">Other Referrals </w:t>
      </w:r>
      <w:r w:rsidR="00FF40F7">
        <w:rPr>
          <w:b/>
          <w:bCs/>
          <w:color w:val="1F497D" w:themeColor="text2"/>
          <w:sz w:val="28"/>
          <w:szCs w:val="28"/>
          <w:lang w:val="en-US"/>
        </w:rPr>
        <w:t>(Level 3 and Level 4)</w:t>
      </w:r>
    </w:p>
    <w:p w14:paraId="37078008" w14:textId="77777777" w:rsidR="00713B19" w:rsidRPr="00BB2A25" w:rsidRDefault="00713B19" w:rsidP="0075073F">
      <w:pPr>
        <w:spacing w:after="0" w:line="240" w:lineRule="auto"/>
        <w:jc w:val="both"/>
        <w:rPr>
          <w:b/>
          <w:bCs/>
          <w:lang w:val="en-US"/>
        </w:rPr>
      </w:pPr>
    </w:p>
    <w:p w14:paraId="35C789C0" w14:textId="77777777" w:rsidR="00713B19" w:rsidRDefault="00713B19" w:rsidP="0075073F">
      <w:pPr>
        <w:spacing w:after="0" w:line="240" w:lineRule="auto"/>
        <w:jc w:val="both"/>
        <w:rPr>
          <w:bCs/>
        </w:rPr>
      </w:pPr>
      <w:r w:rsidRPr="00713B19">
        <w:rPr>
          <w:bCs/>
        </w:rPr>
        <w:t xml:space="preserve">The aim of a HPRS referral is to support pupils to change behaviours and to support schools to avoid the use of permanent exclusion.  Referrals can be discussed with HPRS prior to </w:t>
      </w:r>
      <w:r w:rsidR="00650CD0">
        <w:rPr>
          <w:bCs/>
        </w:rPr>
        <w:t>any formal</w:t>
      </w:r>
      <w:r w:rsidRPr="00713B19">
        <w:rPr>
          <w:bCs/>
        </w:rPr>
        <w:t xml:space="preserve"> referral being made.  </w:t>
      </w:r>
    </w:p>
    <w:p w14:paraId="42FC523B" w14:textId="77777777" w:rsidR="00713B19" w:rsidRDefault="00713B19" w:rsidP="0075073F">
      <w:pPr>
        <w:spacing w:after="0" w:line="240" w:lineRule="auto"/>
        <w:jc w:val="both"/>
        <w:rPr>
          <w:bCs/>
        </w:rPr>
      </w:pPr>
    </w:p>
    <w:p w14:paraId="64EB8636" w14:textId="77777777" w:rsidR="00682050" w:rsidRDefault="00650CD0" w:rsidP="0075073F">
      <w:pPr>
        <w:spacing w:after="0" w:line="240" w:lineRule="auto"/>
        <w:jc w:val="both"/>
        <w:rPr>
          <w:bCs/>
        </w:rPr>
      </w:pPr>
      <w:r>
        <w:rPr>
          <w:bCs/>
        </w:rPr>
        <w:t>A referral is formally triggered via a fully-completed</w:t>
      </w:r>
      <w:r w:rsidR="00682050" w:rsidRPr="00713B19">
        <w:rPr>
          <w:bCs/>
        </w:rPr>
        <w:t xml:space="preserve"> HPRS Informatio</w:t>
      </w:r>
      <w:r w:rsidR="00682050">
        <w:rPr>
          <w:bCs/>
        </w:rPr>
        <w:t xml:space="preserve">n Passport.  </w:t>
      </w:r>
      <w:r>
        <w:rPr>
          <w:bCs/>
        </w:rPr>
        <w:t>The document MUST be completed in full and additional</w:t>
      </w:r>
      <w:r w:rsidR="00682050">
        <w:rPr>
          <w:bCs/>
        </w:rPr>
        <w:t xml:space="preserve"> relevant paper</w:t>
      </w:r>
      <w:r w:rsidR="00682050" w:rsidRPr="00713B19">
        <w:rPr>
          <w:bCs/>
        </w:rPr>
        <w:t xml:space="preserve">work </w:t>
      </w:r>
      <w:r>
        <w:rPr>
          <w:bCs/>
        </w:rPr>
        <w:t>submitted in order</w:t>
      </w:r>
      <w:r w:rsidR="00682050" w:rsidRPr="00713B19">
        <w:rPr>
          <w:bCs/>
        </w:rPr>
        <w:t xml:space="preserve"> to avoid </w:t>
      </w:r>
      <w:r>
        <w:rPr>
          <w:bCs/>
        </w:rPr>
        <w:t xml:space="preserve">any </w:t>
      </w:r>
      <w:r w:rsidR="00682050" w:rsidRPr="00713B19">
        <w:rPr>
          <w:bCs/>
        </w:rPr>
        <w:t xml:space="preserve">delay in processing the application.  </w:t>
      </w:r>
    </w:p>
    <w:p w14:paraId="3A88AB38" w14:textId="77777777" w:rsidR="00650CD0" w:rsidRDefault="00650CD0" w:rsidP="0075073F">
      <w:pPr>
        <w:spacing w:after="0" w:line="240" w:lineRule="auto"/>
        <w:jc w:val="both"/>
        <w:rPr>
          <w:bCs/>
        </w:rPr>
      </w:pPr>
    </w:p>
    <w:p w14:paraId="281D68E0" w14:textId="77777777" w:rsidR="00650CD0" w:rsidRDefault="006A1A8C" w:rsidP="0075073F">
      <w:pPr>
        <w:spacing w:after="0" w:line="240" w:lineRule="auto"/>
        <w:jc w:val="both"/>
        <w:rPr>
          <w:bCs/>
        </w:rPr>
      </w:pPr>
      <w:r>
        <w:rPr>
          <w:bCs/>
        </w:rPr>
        <w:t xml:space="preserve">All referrals should be made in accordance with the HPRS Levels of Need. </w:t>
      </w:r>
      <w:r w:rsidR="00650CD0">
        <w:rPr>
          <w:bCs/>
        </w:rPr>
        <w:t>Please see the HPRS document ‘Information for Schools’</w:t>
      </w:r>
      <w:r>
        <w:rPr>
          <w:bCs/>
        </w:rPr>
        <w:t xml:space="preserve"> for details on the types of support we offer.</w:t>
      </w:r>
    </w:p>
    <w:p w14:paraId="0B4D1193" w14:textId="77777777" w:rsidR="00682050" w:rsidRDefault="00682050" w:rsidP="0075073F">
      <w:pPr>
        <w:spacing w:after="0" w:line="240" w:lineRule="auto"/>
        <w:jc w:val="both"/>
        <w:rPr>
          <w:bCs/>
        </w:rPr>
      </w:pPr>
    </w:p>
    <w:p w14:paraId="26A7F0B9" w14:textId="77777777" w:rsidR="00713B19" w:rsidRPr="00713B19" w:rsidRDefault="00713B19" w:rsidP="0075073F">
      <w:pPr>
        <w:spacing w:after="0" w:line="240" w:lineRule="auto"/>
        <w:jc w:val="both"/>
        <w:rPr>
          <w:bCs/>
        </w:rPr>
      </w:pPr>
      <w:r w:rsidRPr="00713B19">
        <w:rPr>
          <w:bCs/>
        </w:rPr>
        <w:t xml:space="preserve">The following criteria </w:t>
      </w:r>
      <w:r>
        <w:rPr>
          <w:bCs/>
        </w:rPr>
        <w:t>apply</w:t>
      </w:r>
      <w:r w:rsidRPr="00713B19">
        <w:rPr>
          <w:bCs/>
        </w:rPr>
        <w:t>:</w:t>
      </w:r>
    </w:p>
    <w:p w14:paraId="13CAA527" w14:textId="77777777" w:rsidR="00713B19" w:rsidRPr="00713B19" w:rsidRDefault="00713B19" w:rsidP="0075073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Cs/>
        </w:rPr>
      </w:pPr>
      <w:r w:rsidRPr="00713B19">
        <w:rPr>
          <w:bCs/>
        </w:rPr>
        <w:t>Referrals are made by schools/local authorities (we are unable to accept referrals from parents)</w:t>
      </w:r>
      <w:r w:rsidR="00650CD0">
        <w:rPr>
          <w:bCs/>
        </w:rPr>
        <w:t>;</w:t>
      </w:r>
    </w:p>
    <w:p w14:paraId="602E88A1" w14:textId="77777777" w:rsidR="00650CD0" w:rsidRDefault="00713B19" w:rsidP="0075073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Cs/>
        </w:rPr>
      </w:pPr>
      <w:r w:rsidRPr="00713B19">
        <w:rPr>
          <w:bCs/>
        </w:rPr>
        <w:t>Referrals are accepted from schools who have already provided a range of appro</w:t>
      </w:r>
      <w:r w:rsidR="00650CD0">
        <w:rPr>
          <w:bCs/>
        </w:rPr>
        <w:t>priate support and intervention;</w:t>
      </w:r>
    </w:p>
    <w:p w14:paraId="743C82EB" w14:textId="77777777" w:rsidR="00650CD0" w:rsidRDefault="00650CD0" w:rsidP="0075073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Cs/>
        </w:rPr>
      </w:pPr>
      <w:r w:rsidRPr="00650CD0">
        <w:rPr>
          <w:bCs/>
        </w:rPr>
        <w:t xml:space="preserve">The primary need for a referral to HPRS must be behavioural. </w:t>
      </w:r>
      <w:r w:rsidRPr="00650CD0">
        <w:rPr>
          <w:bCs/>
          <w:i/>
        </w:rPr>
        <w:t>Whilst p</w:t>
      </w:r>
      <w:r w:rsidR="00713B19" w:rsidRPr="00650CD0">
        <w:rPr>
          <w:bCs/>
          <w:i/>
        </w:rPr>
        <w:t xml:space="preserve">upils may also have other presenting needs, such as communication and interaction difficulties </w:t>
      </w:r>
      <w:r w:rsidRPr="00650CD0">
        <w:rPr>
          <w:bCs/>
          <w:i/>
        </w:rPr>
        <w:t>(</w:t>
      </w:r>
      <w:proofErr w:type="spellStart"/>
      <w:r w:rsidR="00713B19" w:rsidRPr="00650CD0">
        <w:rPr>
          <w:bCs/>
          <w:i/>
        </w:rPr>
        <w:t>eg.</w:t>
      </w:r>
      <w:proofErr w:type="spellEnd"/>
      <w:r w:rsidR="00713B19" w:rsidRPr="00650CD0">
        <w:rPr>
          <w:bCs/>
          <w:i/>
        </w:rPr>
        <w:t xml:space="preserve"> ASD</w:t>
      </w:r>
      <w:r w:rsidRPr="00650CD0">
        <w:rPr>
          <w:bCs/>
          <w:i/>
        </w:rPr>
        <w:t>),</w:t>
      </w:r>
      <w:r w:rsidR="00713B19" w:rsidRPr="00650CD0">
        <w:rPr>
          <w:bCs/>
          <w:i/>
        </w:rPr>
        <w:t xml:space="preserve"> cognition and learning’ difficulties </w:t>
      </w:r>
      <w:r w:rsidRPr="00650CD0">
        <w:rPr>
          <w:bCs/>
          <w:i/>
        </w:rPr>
        <w:t>(</w:t>
      </w:r>
      <w:proofErr w:type="spellStart"/>
      <w:r w:rsidR="00713B19" w:rsidRPr="00650CD0">
        <w:rPr>
          <w:bCs/>
          <w:i/>
        </w:rPr>
        <w:t>eg.</w:t>
      </w:r>
      <w:proofErr w:type="spellEnd"/>
      <w:r w:rsidR="00713B19" w:rsidRPr="00650CD0">
        <w:rPr>
          <w:bCs/>
          <w:i/>
        </w:rPr>
        <w:t xml:space="preserve"> a specific learning difficulty</w:t>
      </w:r>
      <w:r w:rsidRPr="00650CD0">
        <w:rPr>
          <w:bCs/>
          <w:i/>
        </w:rPr>
        <w:t>),</w:t>
      </w:r>
      <w:r w:rsidR="00713B19" w:rsidRPr="00650CD0">
        <w:rPr>
          <w:bCs/>
          <w:i/>
        </w:rPr>
        <w:t xml:space="preserve"> or sensory and/or physical needs </w:t>
      </w:r>
      <w:r w:rsidRPr="00650CD0">
        <w:rPr>
          <w:bCs/>
          <w:i/>
        </w:rPr>
        <w:t>(</w:t>
      </w:r>
      <w:proofErr w:type="spellStart"/>
      <w:r w:rsidR="00FF0661">
        <w:rPr>
          <w:bCs/>
          <w:i/>
        </w:rPr>
        <w:t>eg.</w:t>
      </w:r>
      <w:proofErr w:type="spellEnd"/>
      <w:r w:rsidR="00FF0661">
        <w:rPr>
          <w:bCs/>
          <w:i/>
        </w:rPr>
        <w:t xml:space="preserve"> </w:t>
      </w:r>
      <w:r w:rsidR="00713B19" w:rsidRPr="00650CD0">
        <w:rPr>
          <w:bCs/>
          <w:i/>
        </w:rPr>
        <w:t>visual impairment</w:t>
      </w:r>
      <w:r w:rsidRPr="00650CD0">
        <w:rPr>
          <w:bCs/>
          <w:i/>
        </w:rPr>
        <w:t>)</w:t>
      </w:r>
      <w:r w:rsidR="00FF0661">
        <w:rPr>
          <w:bCs/>
          <w:i/>
        </w:rPr>
        <w:t>,</w:t>
      </w:r>
      <w:r w:rsidRPr="00650CD0">
        <w:rPr>
          <w:bCs/>
          <w:i/>
        </w:rPr>
        <w:t xml:space="preserve"> behaviour must be the overriding concern. </w:t>
      </w:r>
      <w:r w:rsidR="00713B19" w:rsidRPr="00650CD0">
        <w:rPr>
          <w:bCs/>
          <w:i/>
        </w:rPr>
        <w:t xml:space="preserve"> </w:t>
      </w:r>
    </w:p>
    <w:p w14:paraId="507769EE" w14:textId="77777777" w:rsidR="002449F5" w:rsidRDefault="00713B19" w:rsidP="0075073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Cs/>
        </w:rPr>
      </w:pPr>
      <w:r w:rsidRPr="00650CD0">
        <w:rPr>
          <w:bCs/>
        </w:rPr>
        <w:t>We are unable to support pupils with severe or profound and multiple learning difficulties</w:t>
      </w:r>
      <w:r w:rsidR="00650CD0">
        <w:rPr>
          <w:bCs/>
        </w:rPr>
        <w:t>.</w:t>
      </w:r>
    </w:p>
    <w:p w14:paraId="1027B358" w14:textId="77777777" w:rsidR="006A1A8C" w:rsidRDefault="006A1A8C" w:rsidP="0075073F">
      <w:pPr>
        <w:spacing w:after="0" w:line="240" w:lineRule="auto"/>
        <w:jc w:val="both"/>
        <w:rPr>
          <w:bCs/>
        </w:rPr>
      </w:pPr>
    </w:p>
    <w:p w14:paraId="4E6ED8CA" w14:textId="77777777" w:rsidR="00CA48D7" w:rsidRDefault="00CA48D7" w:rsidP="0075073F">
      <w:pPr>
        <w:spacing w:after="0" w:line="240" w:lineRule="auto"/>
        <w:jc w:val="both"/>
        <w:rPr>
          <w:b/>
          <w:bCs/>
          <w:color w:val="1F497D" w:themeColor="text2"/>
          <w:sz w:val="28"/>
          <w:szCs w:val="28"/>
          <w:lang w:val="en-US"/>
        </w:rPr>
      </w:pPr>
    </w:p>
    <w:p w14:paraId="0CFDB878" w14:textId="77777777" w:rsidR="00B2439B" w:rsidRDefault="00B2439B" w:rsidP="0075073F">
      <w:pPr>
        <w:spacing w:after="0" w:line="240" w:lineRule="auto"/>
        <w:jc w:val="both"/>
        <w:rPr>
          <w:b/>
          <w:bCs/>
          <w:color w:val="1F497D" w:themeColor="text2"/>
          <w:sz w:val="28"/>
          <w:szCs w:val="28"/>
          <w:lang w:val="en-US"/>
        </w:rPr>
      </w:pPr>
    </w:p>
    <w:p w14:paraId="7C9A8AAA" w14:textId="77777777" w:rsidR="00B2439B" w:rsidRPr="00B2439B" w:rsidRDefault="00B2439B" w:rsidP="0075073F">
      <w:pPr>
        <w:spacing w:after="0" w:line="240" w:lineRule="auto"/>
        <w:jc w:val="both"/>
        <w:rPr>
          <w:b/>
          <w:bCs/>
          <w:color w:val="1F497D" w:themeColor="text2"/>
          <w:sz w:val="28"/>
          <w:szCs w:val="28"/>
          <w:lang w:val="en-US"/>
        </w:rPr>
      </w:pPr>
      <w:r>
        <w:rPr>
          <w:b/>
          <w:bCs/>
          <w:color w:val="1F497D" w:themeColor="text2"/>
          <w:sz w:val="28"/>
          <w:szCs w:val="28"/>
          <w:lang w:val="en-US"/>
        </w:rPr>
        <w:t>Admission to HPRS</w:t>
      </w:r>
    </w:p>
    <w:p w14:paraId="4FC68901" w14:textId="77777777" w:rsidR="00B2439B" w:rsidRDefault="00B2439B" w:rsidP="0075073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Once a referral is accepted, HPRS will notify the school and make contact with parents/carers to arrange an initial admission meeting.</w:t>
      </w:r>
    </w:p>
    <w:p w14:paraId="0E82BEE9" w14:textId="77777777" w:rsidR="00B2439B" w:rsidRDefault="00B2439B" w:rsidP="0075073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All pupils attend a structured induction programme for up to two weeks at the beginning of their placement. This is part-time (1 session per day) to facilitate a range of assessments and ensure the pupil’s timetable can be best matched to meet their individual needs.</w:t>
      </w:r>
    </w:p>
    <w:p w14:paraId="48E2B86D" w14:textId="77777777" w:rsidR="006A1A8C" w:rsidRPr="00FF0661" w:rsidRDefault="00A978FE" w:rsidP="0075073F">
      <w:pPr>
        <w:numPr>
          <w:ilvl w:val="0"/>
          <w:numId w:val="45"/>
        </w:numPr>
        <w:shd w:val="clear" w:color="auto" w:fill="FFFFFF"/>
        <w:spacing w:before="100" w:beforeAutospacing="1" w:after="0" w:afterAutospacing="1" w:line="240" w:lineRule="auto"/>
        <w:jc w:val="both"/>
        <w:rPr>
          <w:bCs/>
        </w:rPr>
      </w:pPr>
      <w:r w:rsidRPr="00FF0661">
        <w:rPr>
          <w:rFonts w:eastAsia="Times New Roman" w:cstheme="minorHAnsi"/>
          <w:lang w:eastAsia="en-GB"/>
        </w:rPr>
        <w:t xml:space="preserve">Pupils </w:t>
      </w:r>
      <w:r w:rsidR="00B2439B" w:rsidRPr="00FF0661">
        <w:rPr>
          <w:rFonts w:eastAsia="Times New Roman" w:cstheme="minorHAnsi"/>
          <w:lang w:eastAsia="en-GB"/>
        </w:rPr>
        <w:t>admitted</w:t>
      </w:r>
      <w:r w:rsidRPr="00FF0661">
        <w:rPr>
          <w:rFonts w:eastAsia="Times New Roman" w:cstheme="minorHAnsi"/>
          <w:lang w:eastAsia="en-GB"/>
        </w:rPr>
        <w:t xml:space="preserve"> to HPRS on an Intervention or P</w:t>
      </w:r>
      <w:r w:rsidR="005D71FF" w:rsidRPr="00FF0661">
        <w:rPr>
          <w:rFonts w:eastAsia="Times New Roman" w:cstheme="minorHAnsi"/>
          <w:lang w:eastAsia="en-GB"/>
        </w:rPr>
        <w:t>ermanent P</w:t>
      </w:r>
      <w:r w:rsidRPr="00FF0661">
        <w:rPr>
          <w:rFonts w:eastAsia="Times New Roman" w:cstheme="minorHAnsi"/>
          <w:lang w:eastAsia="en-GB"/>
        </w:rPr>
        <w:t xml:space="preserve">lacement (Levels 3 &amp; 4) will remain on the </w:t>
      </w:r>
      <w:proofErr w:type="spellStart"/>
      <w:r w:rsidRPr="00FF0661">
        <w:rPr>
          <w:rFonts w:eastAsia="Times New Roman" w:cstheme="minorHAnsi"/>
          <w:lang w:eastAsia="en-GB"/>
        </w:rPr>
        <w:t>roll</w:t>
      </w:r>
      <w:proofErr w:type="spellEnd"/>
      <w:r w:rsidRPr="00FF0661">
        <w:rPr>
          <w:rFonts w:eastAsia="Times New Roman" w:cstheme="minorHAnsi"/>
          <w:lang w:eastAsia="en-GB"/>
        </w:rPr>
        <w:t xml:space="preserve"> of the school with Dual Registration status (Main at host school, Subsidiary at HPRS)</w:t>
      </w:r>
      <w:r w:rsidR="00B2439B" w:rsidRPr="00FF0661">
        <w:rPr>
          <w:rFonts w:eastAsia="Times New Roman" w:cstheme="minorHAnsi"/>
          <w:lang w:eastAsia="en-GB"/>
        </w:rPr>
        <w:t>.</w:t>
      </w:r>
      <w:r w:rsidR="00FF0661" w:rsidRPr="00FF0661">
        <w:rPr>
          <w:rFonts w:eastAsia="Times New Roman" w:cstheme="minorHAnsi"/>
          <w:lang w:eastAsia="en-GB"/>
        </w:rPr>
        <w:t xml:space="preserve"> HPRS will provide regular feedback to the host school.</w:t>
      </w:r>
    </w:p>
    <w:p w14:paraId="3CCA07E3" w14:textId="77777777" w:rsidR="00B2439B" w:rsidRDefault="00B2439B" w:rsidP="006A1A8C">
      <w:pPr>
        <w:spacing w:after="0" w:line="240" w:lineRule="auto"/>
        <w:jc w:val="both"/>
        <w:rPr>
          <w:bCs/>
        </w:rPr>
      </w:pPr>
    </w:p>
    <w:p w14:paraId="2D9D6496" w14:textId="77777777" w:rsidR="00B2439B" w:rsidRDefault="00B2439B" w:rsidP="006A1A8C">
      <w:pPr>
        <w:spacing w:after="0" w:line="240" w:lineRule="auto"/>
        <w:jc w:val="both"/>
        <w:rPr>
          <w:bCs/>
        </w:rPr>
      </w:pPr>
    </w:p>
    <w:p w14:paraId="0A288F29" w14:textId="77777777" w:rsidR="00B2439B" w:rsidRDefault="00B2439B" w:rsidP="006A1A8C">
      <w:pPr>
        <w:spacing w:after="0" w:line="240" w:lineRule="auto"/>
        <w:jc w:val="both"/>
        <w:rPr>
          <w:bCs/>
        </w:rPr>
      </w:pPr>
    </w:p>
    <w:p w14:paraId="5108C201" w14:textId="77777777" w:rsidR="00B2439B" w:rsidRDefault="00B2439B" w:rsidP="006A1A8C">
      <w:pPr>
        <w:spacing w:after="0" w:line="240" w:lineRule="auto"/>
        <w:jc w:val="both"/>
        <w:rPr>
          <w:bCs/>
        </w:rPr>
      </w:pPr>
    </w:p>
    <w:p w14:paraId="58077D59" w14:textId="77777777" w:rsidR="00B2439B" w:rsidRDefault="00B2439B" w:rsidP="006A1A8C">
      <w:pPr>
        <w:spacing w:after="0" w:line="240" w:lineRule="auto"/>
        <w:jc w:val="both"/>
        <w:rPr>
          <w:bCs/>
        </w:rPr>
      </w:pPr>
    </w:p>
    <w:p w14:paraId="3260A922" w14:textId="77777777" w:rsidR="00B2439B" w:rsidRPr="005D71FF" w:rsidRDefault="00B2439B" w:rsidP="00B2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jc w:val="center"/>
        <w:rPr>
          <w:bCs/>
          <w:sz w:val="12"/>
        </w:rPr>
      </w:pPr>
    </w:p>
    <w:p w14:paraId="4145431C" w14:textId="77777777" w:rsidR="00B2439B" w:rsidRPr="00B2439B" w:rsidRDefault="00B2439B" w:rsidP="00B2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jc w:val="center"/>
        <w:rPr>
          <w:bCs/>
          <w:i/>
          <w:color w:val="FFFFFF" w:themeColor="background1"/>
        </w:rPr>
      </w:pPr>
      <w:r w:rsidRPr="00B2439B">
        <w:rPr>
          <w:bCs/>
          <w:i/>
          <w:color w:val="FFFFFF" w:themeColor="background1"/>
        </w:rPr>
        <w:t>For full information on the range of support offered by HPRS, please refer to our document:</w:t>
      </w:r>
    </w:p>
    <w:p w14:paraId="192C6722" w14:textId="77777777" w:rsidR="00B2439B" w:rsidRPr="00B2439B" w:rsidRDefault="00B2439B" w:rsidP="00B2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jc w:val="center"/>
        <w:rPr>
          <w:b/>
          <w:bCs/>
        </w:rPr>
      </w:pPr>
      <w:r w:rsidRPr="00B2439B">
        <w:rPr>
          <w:b/>
          <w:bCs/>
          <w:color w:val="FFFFFF" w:themeColor="background1"/>
        </w:rPr>
        <w:t>HPRS - Information for Schools</w:t>
      </w:r>
    </w:p>
    <w:p w14:paraId="577D54A6" w14:textId="77777777" w:rsidR="00B2439B" w:rsidRPr="005D71FF" w:rsidRDefault="00B2439B" w:rsidP="00B2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0" w:line="240" w:lineRule="auto"/>
        <w:jc w:val="center"/>
        <w:rPr>
          <w:bCs/>
          <w:sz w:val="12"/>
        </w:rPr>
      </w:pPr>
    </w:p>
    <w:sectPr w:rsidR="00B2439B" w:rsidRPr="005D71FF" w:rsidSect="00822049">
      <w:footerReference w:type="default" r:id="rId9"/>
      <w:pgSz w:w="11906" w:h="16838"/>
      <w:pgMar w:top="567" w:right="1021" w:bottom="1135" w:left="1021" w:header="563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1A85" w14:textId="77777777" w:rsidR="00FB5D67" w:rsidRDefault="00FB5D67" w:rsidP="00D8324C">
      <w:pPr>
        <w:spacing w:after="0" w:line="240" w:lineRule="auto"/>
      </w:pPr>
      <w:r>
        <w:separator/>
      </w:r>
    </w:p>
  </w:endnote>
  <w:endnote w:type="continuationSeparator" w:id="0">
    <w:p w14:paraId="456D17C3" w14:textId="77777777" w:rsidR="00FB5D67" w:rsidRDefault="00FB5D67" w:rsidP="00D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BDCF" w14:textId="77777777" w:rsidR="00FB5D67" w:rsidRPr="00D8324C" w:rsidRDefault="003603BF">
    <w:pPr>
      <w:pStyle w:val="Foo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74EC7" wp14:editId="62760F64">
              <wp:simplePos x="0" y="0"/>
              <wp:positionH relativeFrom="column">
                <wp:posOffset>-635</wp:posOffset>
              </wp:positionH>
              <wp:positionV relativeFrom="paragraph">
                <wp:posOffset>-59055</wp:posOffset>
              </wp:positionV>
              <wp:extent cx="6229350" cy="0"/>
              <wp:effectExtent l="8890" t="7620" r="1016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145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-4.6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" strokecolor="#4f81bd [3204]" strokeweight=".5pt"/>
          </w:pict>
        </mc:Fallback>
      </mc:AlternateContent>
    </w:r>
    <w:r w:rsidR="00FB5D67">
      <w:rPr>
        <w:noProof/>
        <w:color w:val="7F7F7F" w:themeColor="text1" w:themeTint="80"/>
        <w:sz w:val="16"/>
        <w:szCs w:val="16"/>
        <w:lang w:eastAsia="en-GB"/>
      </w:rPr>
      <w:t>HPRS |</w:t>
    </w:r>
    <w:r w:rsidR="00FB5D67" w:rsidRPr="00D8324C">
      <w:rPr>
        <w:color w:val="7F7F7F" w:themeColor="text1" w:themeTint="80"/>
        <w:sz w:val="16"/>
        <w:szCs w:val="16"/>
      </w:rPr>
      <w:t xml:space="preserve"> </w:t>
    </w:r>
    <w:r w:rsidR="00713B19">
      <w:rPr>
        <w:color w:val="7F7F7F" w:themeColor="text1" w:themeTint="80"/>
        <w:sz w:val="16"/>
        <w:szCs w:val="16"/>
      </w:rPr>
      <w:t>ADMISSIONS CRITERIA</w:t>
    </w:r>
    <w:r w:rsidR="00822049">
      <w:rPr>
        <w:color w:val="7F7F7F" w:themeColor="text1" w:themeTint="80"/>
        <w:sz w:val="16"/>
        <w:szCs w:val="16"/>
      </w:rPr>
      <w:t xml:space="preserve"> 20</w:t>
    </w:r>
    <w:r w:rsidR="00713B19">
      <w:rPr>
        <w:color w:val="7F7F7F" w:themeColor="text1" w:themeTint="80"/>
        <w:sz w:val="16"/>
        <w:szCs w:val="16"/>
      </w:rPr>
      <w:t>20</w:t>
    </w:r>
    <w:r w:rsidR="00FB5D67" w:rsidRPr="00D8324C">
      <w:rPr>
        <w:color w:val="7F7F7F" w:themeColor="text1" w:themeTint="80"/>
        <w:sz w:val="16"/>
        <w:szCs w:val="16"/>
      </w:rPr>
      <w:tab/>
    </w:r>
    <w:r w:rsidR="00FB5D67" w:rsidRPr="00D8324C">
      <w:rPr>
        <w:color w:val="7F7F7F" w:themeColor="text1" w:themeTint="80"/>
        <w:sz w:val="16"/>
        <w:szCs w:val="16"/>
      </w:rPr>
      <w:tab/>
    </w:r>
    <w:r w:rsidR="00FB5D67" w:rsidRPr="00D8324C">
      <w:rPr>
        <w:color w:val="7F7F7F" w:themeColor="text1" w:themeTint="80"/>
        <w:sz w:val="16"/>
        <w:szCs w:val="16"/>
      </w:rPr>
      <w:tab/>
      <w:t xml:space="preserve">Page </w:t>
    </w:r>
    <w:r w:rsidR="00390EED" w:rsidRPr="00D8324C">
      <w:rPr>
        <w:color w:val="7F7F7F" w:themeColor="text1" w:themeTint="80"/>
        <w:sz w:val="16"/>
        <w:szCs w:val="16"/>
      </w:rPr>
      <w:fldChar w:fldCharType="begin"/>
    </w:r>
    <w:r w:rsidR="00FB5D67" w:rsidRPr="00D8324C">
      <w:rPr>
        <w:color w:val="7F7F7F" w:themeColor="text1" w:themeTint="80"/>
        <w:sz w:val="16"/>
        <w:szCs w:val="16"/>
      </w:rPr>
      <w:instrText xml:space="preserve"> PAGE   \* MERGEFORMAT </w:instrText>
    </w:r>
    <w:r w:rsidR="00390EED" w:rsidRPr="00D8324C">
      <w:rPr>
        <w:color w:val="7F7F7F" w:themeColor="text1" w:themeTint="80"/>
        <w:sz w:val="16"/>
        <w:szCs w:val="16"/>
      </w:rPr>
      <w:fldChar w:fldCharType="separate"/>
    </w:r>
    <w:r w:rsidR="001E5054">
      <w:rPr>
        <w:noProof/>
        <w:color w:val="7F7F7F" w:themeColor="text1" w:themeTint="80"/>
        <w:sz w:val="16"/>
        <w:szCs w:val="16"/>
      </w:rPr>
      <w:t>3</w:t>
    </w:r>
    <w:r w:rsidR="00390EED" w:rsidRPr="00D8324C">
      <w:rPr>
        <w:color w:val="7F7F7F" w:themeColor="text1" w:themeTint="80"/>
        <w:sz w:val="16"/>
        <w:szCs w:val="16"/>
      </w:rPr>
      <w:fldChar w:fldCharType="end"/>
    </w:r>
  </w:p>
  <w:p w14:paraId="1FD59E85" w14:textId="77777777" w:rsidR="00FB5D67" w:rsidRDefault="00FB5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1295" w14:textId="77777777" w:rsidR="00FB5D67" w:rsidRDefault="00FB5D67" w:rsidP="00D8324C">
      <w:pPr>
        <w:spacing w:after="0" w:line="240" w:lineRule="auto"/>
      </w:pPr>
      <w:r>
        <w:separator/>
      </w:r>
    </w:p>
  </w:footnote>
  <w:footnote w:type="continuationSeparator" w:id="0">
    <w:p w14:paraId="65E8B5CB" w14:textId="77777777" w:rsidR="00FB5D67" w:rsidRDefault="00FB5D67" w:rsidP="00D8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C3C"/>
    <w:multiLevelType w:val="hybridMultilevel"/>
    <w:tmpl w:val="F10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28D3"/>
    <w:multiLevelType w:val="hybridMultilevel"/>
    <w:tmpl w:val="BFF00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7B75"/>
    <w:multiLevelType w:val="hybridMultilevel"/>
    <w:tmpl w:val="3516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8F6"/>
    <w:multiLevelType w:val="hybridMultilevel"/>
    <w:tmpl w:val="BF0EF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60F"/>
    <w:multiLevelType w:val="hybridMultilevel"/>
    <w:tmpl w:val="8DB8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5603"/>
    <w:multiLevelType w:val="hybridMultilevel"/>
    <w:tmpl w:val="1BE8FDBA"/>
    <w:lvl w:ilvl="0" w:tplc="58C01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999"/>
    <w:multiLevelType w:val="hybridMultilevel"/>
    <w:tmpl w:val="DE226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34459"/>
    <w:multiLevelType w:val="hybridMultilevel"/>
    <w:tmpl w:val="A7DC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6420E"/>
    <w:multiLevelType w:val="multilevel"/>
    <w:tmpl w:val="AA9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041EB"/>
    <w:multiLevelType w:val="hybridMultilevel"/>
    <w:tmpl w:val="3388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37"/>
    <w:multiLevelType w:val="hybridMultilevel"/>
    <w:tmpl w:val="7376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F61EA"/>
    <w:multiLevelType w:val="hybridMultilevel"/>
    <w:tmpl w:val="26E6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43BF2"/>
    <w:multiLevelType w:val="hybridMultilevel"/>
    <w:tmpl w:val="D32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790"/>
    <w:multiLevelType w:val="hybridMultilevel"/>
    <w:tmpl w:val="8ED0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31427"/>
    <w:multiLevelType w:val="hybridMultilevel"/>
    <w:tmpl w:val="7B3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2BCF"/>
    <w:multiLevelType w:val="hybridMultilevel"/>
    <w:tmpl w:val="2156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25715"/>
    <w:multiLevelType w:val="hybridMultilevel"/>
    <w:tmpl w:val="0936A24C"/>
    <w:lvl w:ilvl="0" w:tplc="E15E90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2AC8"/>
    <w:multiLevelType w:val="hybridMultilevel"/>
    <w:tmpl w:val="0806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808FB"/>
    <w:multiLevelType w:val="hybridMultilevel"/>
    <w:tmpl w:val="8FD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12AA"/>
    <w:multiLevelType w:val="hybridMultilevel"/>
    <w:tmpl w:val="050CE562"/>
    <w:lvl w:ilvl="0" w:tplc="6622C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81637"/>
    <w:multiLevelType w:val="hybridMultilevel"/>
    <w:tmpl w:val="F61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50BC0"/>
    <w:multiLevelType w:val="hybridMultilevel"/>
    <w:tmpl w:val="E4007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E17DC"/>
    <w:multiLevelType w:val="hybridMultilevel"/>
    <w:tmpl w:val="7E866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95396"/>
    <w:multiLevelType w:val="hybridMultilevel"/>
    <w:tmpl w:val="D8D4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A7807"/>
    <w:multiLevelType w:val="hybridMultilevel"/>
    <w:tmpl w:val="FD4A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048A0"/>
    <w:multiLevelType w:val="hybridMultilevel"/>
    <w:tmpl w:val="BE74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6143D"/>
    <w:multiLevelType w:val="hybridMultilevel"/>
    <w:tmpl w:val="2DD4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3DFF"/>
    <w:multiLevelType w:val="hybridMultilevel"/>
    <w:tmpl w:val="509A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72EAB"/>
    <w:multiLevelType w:val="hybridMultilevel"/>
    <w:tmpl w:val="A55E811E"/>
    <w:lvl w:ilvl="0" w:tplc="A1DC0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7960CF"/>
    <w:multiLevelType w:val="hybridMultilevel"/>
    <w:tmpl w:val="5BE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F73B3"/>
    <w:multiLevelType w:val="hybridMultilevel"/>
    <w:tmpl w:val="F99A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7A3"/>
    <w:multiLevelType w:val="hybridMultilevel"/>
    <w:tmpl w:val="4012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F7B72"/>
    <w:multiLevelType w:val="hybridMultilevel"/>
    <w:tmpl w:val="3FC6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029E8"/>
    <w:multiLevelType w:val="hybridMultilevel"/>
    <w:tmpl w:val="B6DA7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E49F2"/>
    <w:multiLevelType w:val="hybridMultilevel"/>
    <w:tmpl w:val="0D90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E2A78"/>
    <w:multiLevelType w:val="hybridMultilevel"/>
    <w:tmpl w:val="CC72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800CF"/>
    <w:multiLevelType w:val="hybridMultilevel"/>
    <w:tmpl w:val="794E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05270"/>
    <w:multiLevelType w:val="hybridMultilevel"/>
    <w:tmpl w:val="B796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05C1B"/>
    <w:multiLevelType w:val="hybridMultilevel"/>
    <w:tmpl w:val="65F8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A2EDE"/>
    <w:multiLevelType w:val="hybridMultilevel"/>
    <w:tmpl w:val="C29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10B09"/>
    <w:multiLevelType w:val="multilevel"/>
    <w:tmpl w:val="4992C9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1" w15:restartNumberingAfterBreak="0">
    <w:nsid w:val="7AAE3A7F"/>
    <w:multiLevelType w:val="hybridMultilevel"/>
    <w:tmpl w:val="D508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C39DB"/>
    <w:multiLevelType w:val="hybridMultilevel"/>
    <w:tmpl w:val="6FA0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C2635"/>
    <w:multiLevelType w:val="hybridMultilevel"/>
    <w:tmpl w:val="67AEF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E3FBA"/>
    <w:multiLevelType w:val="hybridMultilevel"/>
    <w:tmpl w:val="0B66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81DD4"/>
    <w:multiLevelType w:val="hybridMultilevel"/>
    <w:tmpl w:val="16C4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67845">
    <w:abstractNumId w:val="32"/>
  </w:num>
  <w:num w:numId="2" w16cid:durableId="170291922">
    <w:abstractNumId w:val="0"/>
  </w:num>
  <w:num w:numId="3" w16cid:durableId="1691754821">
    <w:abstractNumId w:val="41"/>
  </w:num>
  <w:num w:numId="4" w16cid:durableId="1134370695">
    <w:abstractNumId w:val="4"/>
  </w:num>
  <w:num w:numId="5" w16cid:durableId="414939404">
    <w:abstractNumId w:val="20"/>
  </w:num>
  <w:num w:numId="6" w16cid:durableId="942414850">
    <w:abstractNumId w:val="13"/>
  </w:num>
  <w:num w:numId="7" w16cid:durableId="559172570">
    <w:abstractNumId w:val="29"/>
  </w:num>
  <w:num w:numId="8" w16cid:durableId="644880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335535">
    <w:abstractNumId w:val="34"/>
  </w:num>
  <w:num w:numId="10" w16cid:durableId="68426206">
    <w:abstractNumId w:val="18"/>
  </w:num>
  <w:num w:numId="11" w16cid:durableId="838276930">
    <w:abstractNumId w:val="39"/>
  </w:num>
  <w:num w:numId="12" w16cid:durableId="854461534">
    <w:abstractNumId w:val="43"/>
  </w:num>
  <w:num w:numId="13" w16cid:durableId="1396273081">
    <w:abstractNumId w:val="6"/>
  </w:num>
  <w:num w:numId="14" w16cid:durableId="1320620057">
    <w:abstractNumId w:val="11"/>
  </w:num>
  <w:num w:numId="15" w16cid:durableId="1321807021">
    <w:abstractNumId w:val="15"/>
  </w:num>
  <w:num w:numId="16" w16cid:durableId="1083337084">
    <w:abstractNumId w:val="21"/>
  </w:num>
  <w:num w:numId="17" w16cid:durableId="1275209333">
    <w:abstractNumId w:val="37"/>
  </w:num>
  <w:num w:numId="18" w16cid:durableId="1050226236">
    <w:abstractNumId w:val="24"/>
  </w:num>
  <w:num w:numId="19" w16cid:durableId="1547985665">
    <w:abstractNumId w:val="10"/>
  </w:num>
  <w:num w:numId="20" w16cid:durableId="1083338057">
    <w:abstractNumId w:val="42"/>
  </w:num>
  <w:num w:numId="21" w16cid:durableId="2000379309">
    <w:abstractNumId w:val="28"/>
  </w:num>
  <w:num w:numId="22" w16cid:durableId="1888301355">
    <w:abstractNumId w:val="26"/>
  </w:num>
  <w:num w:numId="23" w16cid:durableId="1971082697">
    <w:abstractNumId w:val="7"/>
  </w:num>
  <w:num w:numId="24" w16cid:durableId="1115055811">
    <w:abstractNumId w:val="31"/>
  </w:num>
  <w:num w:numId="25" w16cid:durableId="294600527">
    <w:abstractNumId w:val="1"/>
  </w:num>
  <w:num w:numId="26" w16cid:durableId="2030372034">
    <w:abstractNumId w:val="3"/>
  </w:num>
  <w:num w:numId="27" w16cid:durableId="373896822">
    <w:abstractNumId w:val="5"/>
  </w:num>
  <w:num w:numId="28" w16cid:durableId="1354913934">
    <w:abstractNumId w:val="19"/>
  </w:num>
  <w:num w:numId="29" w16cid:durableId="1967815687">
    <w:abstractNumId w:val="22"/>
  </w:num>
  <w:num w:numId="30" w16cid:durableId="1196848451">
    <w:abstractNumId w:val="30"/>
  </w:num>
  <w:num w:numId="31" w16cid:durableId="1758474588">
    <w:abstractNumId w:val="12"/>
  </w:num>
  <w:num w:numId="32" w16cid:durableId="1178424413">
    <w:abstractNumId w:val="16"/>
  </w:num>
  <w:num w:numId="33" w16cid:durableId="2141067834">
    <w:abstractNumId w:val="36"/>
  </w:num>
  <w:num w:numId="34" w16cid:durableId="1142624204">
    <w:abstractNumId w:val="9"/>
  </w:num>
  <w:num w:numId="35" w16cid:durableId="1274287396">
    <w:abstractNumId w:val="44"/>
  </w:num>
  <w:num w:numId="36" w16cid:durableId="694113235">
    <w:abstractNumId w:val="14"/>
  </w:num>
  <w:num w:numId="37" w16cid:durableId="2018576005">
    <w:abstractNumId w:val="17"/>
  </w:num>
  <w:num w:numId="38" w16cid:durableId="1802764555">
    <w:abstractNumId w:val="33"/>
  </w:num>
  <w:num w:numId="39" w16cid:durableId="2066054177">
    <w:abstractNumId w:val="23"/>
  </w:num>
  <w:num w:numId="40" w16cid:durableId="1443840412">
    <w:abstractNumId w:val="25"/>
  </w:num>
  <w:num w:numId="41" w16cid:durableId="1357268966">
    <w:abstractNumId w:val="27"/>
  </w:num>
  <w:num w:numId="42" w16cid:durableId="119962390">
    <w:abstractNumId w:val="38"/>
  </w:num>
  <w:num w:numId="43" w16cid:durableId="739250371">
    <w:abstractNumId w:val="45"/>
  </w:num>
  <w:num w:numId="44" w16cid:durableId="1594320667">
    <w:abstractNumId w:val="35"/>
  </w:num>
  <w:num w:numId="45" w16cid:durableId="646667710">
    <w:abstractNumId w:val="8"/>
  </w:num>
  <w:num w:numId="46" w16cid:durableId="54737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95"/>
    <w:rsid w:val="0001231F"/>
    <w:rsid w:val="000567DE"/>
    <w:rsid w:val="0007730B"/>
    <w:rsid w:val="000F66CB"/>
    <w:rsid w:val="001079A5"/>
    <w:rsid w:val="00130559"/>
    <w:rsid w:val="001828A1"/>
    <w:rsid w:val="001866D6"/>
    <w:rsid w:val="001B00F0"/>
    <w:rsid w:val="001E5054"/>
    <w:rsid w:val="002021B5"/>
    <w:rsid w:val="0020691C"/>
    <w:rsid w:val="00242231"/>
    <w:rsid w:val="002449F5"/>
    <w:rsid w:val="00271679"/>
    <w:rsid w:val="002803F0"/>
    <w:rsid w:val="002E3D8D"/>
    <w:rsid w:val="002E6D77"/>
    <w:rsid w:val="003304AE"/>
    <w:rsid w:val="003336C8"/>
    <w:rsid w:val="003603BF"/>
    <w:rsid w:val="00390EED"/>
    <w:rsid w:val="003E38D8"/>
    <w:rsid w:val="003F2913"/>
    <w:rsid w:val="00402788"/>
    <w:rsid w:val="004536B1"/>
    <w:rsid w:val="0049234C"/>
    <w:rsid w:val="004C2495"/>
    <w:rsid w:val="00505DF0"/>
    <w:rsid w:val="0052184E"/>
    <w:rsid w:val="0052441E"/>
    <w:rsid w:val="00541850"/>
    <w:rsid w:val="00542139"/>
    <w:rsid w:val="0055583B"/>
    <w:rsid w:val="00585683"/>
    <w:rsid w:val="005A775C"/>
    <w:rsid w:val="005C1B40"/>
    <w:rsid w:val="005D71FF"/>
    <w:rsid w:val="0063111E"/>
    <w:rsid w:val="00650CD0"/>
    <w:rsid w:val="0067383D"/>
    <w:rsid w:val="00682050"/>
    <w:rsid w:val="006856A8"/>
    <w:rsid w:val="00687CA2"/>
    <w:rsid w:val="00697697"/>
    <w:rsid w:val="006A1A8C"/>
    <w:rsid w:val="006C6EB4"/>
    <w:rsid w:val="00713B19"/>
    <w:rsid w:val="00745AF6"/>
    <w:rsid w:val="0075073F"/>
    <w:rsid w:val="007767E4"/>
    <w:rsid w:val="007E007B"/>
    <w:rsid w:val="00810047"/>
    <w:rsid w:val="00822049"/>
    <w:rsid w:val="008322D6"/>
    <w:rsid w:val="008453F7"/>
    <w:rsid w:val="00846DAC"/>
    <w:rsid w:val="008B7F4D"/>
    <w:rsid w:val="008C77F4"/>
    <w:rsid w:val="0092256A"/>
    <w:rsid w:val="00954115"/>
    <w:rsid w:val="00985FC6"/>
    <w:rsid w:val="009A6DDE"/>
    <w:rsid w:val="00A2615B"/>
    <w:rsid w:val="00A85E07"/>
    <w:rsid w:val="00A96967"/>
    <w:rsid w:val="00A978FE"/>
    <w:rsid w:val="00AB5E2F"/>
    <w:rsid w:val="00AE4917"/>
    <w:rsid w:val="00B2439B"/>
    <w:rsid w:val="00B34559"/>
    <w:rsid w:val="00B57B5E"/>
    <w:rsid w:val="00BB008C"/>
    <w:rsid w:val="00BB2A25"/>
    <w:rsid w:val="00BB3EEB"/>
    <w:rsid w:val="00C11A30"/>
    <w:rsid w:val="00C14B8D"/>
    <w:rsid w:val="00CA48D7"/>
    <w:rsid w:val="00D11E11"/>
    <w:rsid w:val="00D20FB0"/>
    <w:rsid w:val="00D42D65"/>
    <w:rsid w:val="00D62D17"/>
    <w:rsid w:val="00D63C02"/>
    <w:rsid w:val="00D8324C"/>
    <w:rsid w:val="00D8756D"/>
    <w:rsid w:val="00DA2E50"/>
    <w:rsid w:val="00DB312D"/>
    <w:rsid w:val="00E173D4"/>
    <w:rsid w:val="00E45DA4"/>
    <w:rsid w:val="00E5189D"/>
    <w:rsid w:val="00E77378"/>
    <w:rsid w:val="00E935E8"/>
    <w:rsid w:val="00F827DE"/>
    <w:rsid w:val="00F91EF9"/>
    <w:rsid w:val="00FA0D29"/>
    <w:rsid w:val="00FB5D67"/>
    <w:rsid w:val="00FD0264"/>
    <w:rsid w:val="00FE3B7B"/>
    <w:rsid w:val="00FF066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CD374"/>
  <w15:docId w15:val="{FCDCF795-043C-4558-A4C7-B5117D2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A30"/>
    <w:pPr>
      <w:ind w:left="720"/>
      <w:contextualSpacing/>
    </w:pPr>
  </w:style>
  <w:style w:type="table" w:styleId="TableGrid">
    <w:name w:val="Table Grid"/>
    <w:basedOn w:val="TableNormal"/>
    <w:uiPriority w:val="59"/>
    <w:rsid w:val="00BB0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83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4C"/>
  </w:style>
  <w:style w:type="paragraph" w:styleId="Footer">
    <w:name w:val="footer"/>
    <w:basedOn w:val="Normal"/>
    <w:link w:val="FooterChar"/>
    <w:uiPriority w:val="99"/>
    <w:unhideWhenUsed/>
    <w:rsid w:val="00D83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4C"/>
  </w:style>
  <w:style w:type="character" w:styleId="Hyperlink">
    <w:name w:val="Hyperlink"/>
    <w:basedOn w:val="DefaultParagraphFont"/>
    <w:uiPriority w:val="99"/>
    <w:unhideWhenUsed/>
    <w:rsid w:val="005244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EDC4-3FFE-4992-ABB9-22F03D8E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Bowdler</dc:creator>
  <cp:lastModifiedBy>Beverley Blower</cp:lastModifiedBy>
  <cp:revision>2</cp:revision>
  <cp:lastPrinted>2015-05-11T09:56:00Z</cp:lastPrinted>
  <dcterms:created xsi:type="dcterms:W3CDTF">2025-06-24T08:46:00Z</dcterms:created>
  <dcterms:modified xsi:type="dcterms:W3CDTF">2025-06-24T08:46:00Z</dcterms:modified>
</cp:coreProperties>
</file>